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99" w:type="dxa"/>
        <w:tblCellMar>
          <w:left w:w="85" w:type="dxa"/>
          <w:right w:w="85" w:type="dxa"/>
        </w:tblCellMar>
        <w:tblLook w:val="0000"/>
      </w:tblPr>
      <w:tblGrid>
        <w:gridCol w:w="4537"/>
        <w:gridCol w:w="5245"/>
      </w:tblGrid>
      <w:tr w:rsidR="00C83FF9" w:rsidRPr="005E3E86" w:rsidTr="009C75BA">
        <w:trPr>
          <w:cantSplit/>
          <w:trHeight w:val="735"/>
        </w:trPr>
        <w:tc>
          <w:tcPr>
            <w:tcW w:w="4537" w:type="dxa"/>
          </w:tcPr>
          <w:p w:rsidR="00C83FF9" w:rsidRPr="00657453" w:rsidRDefault="00C83FF9" w:rsidP="00C61238">
            <w:pPr>
              <w:widowControl w:val="0"/>
              <w:jc w:val="center"/>
              <w:rPr>
                <w:b/>
                <w:bCs/>
                <w:w w:val="90"/>
                <w:sz w:val="26"/>
                <w:szCs w:val="26"/>
              </w:rPr>
            </w:pPr>
            <w:r w:rsidRPr="00657453">
              <w:rPr>
                <w:b/>
                <w:bCs/>
                <w:w w:val="90"/>
                <w:sz w:val="26"/>
                <w:szCs w:val="26"/>
              </w:rPr>
              <w:t>BỘ THÔNG TIN VÀ TRUYỀN THÔNG</w:t>
            </w:r>
          </w:p>
          <w:p w:rsidR="00C83FF9" w:rsidRPr="00A164B1" w:rsidRDefault="00C81FD7" w:rsidP="00C61238">
            <w:pPr>
              <w:widowControl w:val="0"/>
              <w:ind w:left="-85" w:right="-85"/>
              <w:jc w:val="center"/>
              <w:rPr>
                <w:b/>
                <w:sz w:val="26"/>
                <w:szCs w:val="26"/>
                <w:lang w:val="en-US"/>
              </w:rPr>
            </w:pPr>
            <w:r>
              <w:rPr>
                <w:b/>
                <w:noProof/>
                <w:sz w:val="26"/>
                <w:szCs w:val="26"/>
                <w:lang w:val="en-US"/>
              </w:rPr>
              <w:pict>
                <v:line id="Straight Connector 2" o:spid="_x0000_s1026" style="position:absolute;left:0;text-align:left;z-index:251660288;visibility:visible" from="51.15pt,4.1pt" to="151.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LF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DLn6aPE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CX6bTi2AAAAAcBAAAPAAAAZHJzL2Rvd25yZXYueG1sTI7BTsMwEETv&#10;SPyDtUhcKmqTSKgKcSoE5MaFUsR1Gy9JRLxOY7cNfD0LFzg+zWjmlevZD+pIU+wDW7heGlDETXA9&#10;txa2L/XVClRMyA6HwGThkyKsq/OzEgsXTvxMx01qlYxwLNBCl9JYaB2bjjzGZRiJJXsPk8ckOLXa&#10;TXiScT/ozJgb7bFneehwpPuOmo/NwVuI9Svt669FszBveRso2z88PaK1lxfz3S2oRHP6K8OPvqhD&#10;JU67cGAX1SBsslyqFlYZKMlzkwvvfllXpf7vX30DAAD//wMAUEsBAi0AFAAGAAgAAAAhALaDOJL+&#10;AAAA4QEAABMAAAAAAAAAAAAAAAAAAAAAAFtDb250ZW50X1R5cGVzXS54bWxQSwECLQAUAAYACAAA&#10;ACEAOP0h/9YAAACUAQAACwAAAAAAAAAAAAAAAAAvAQAAX3JlbHMvLnJlbHNQSwECLQAUAAYACAAA&#10;ACEA1IhyxR0CAAA2BAAADgAAAAAAAAAAAAAAAAAuAgAAZHJzL2Uyb0RvYy54bWxQSwECLQAUAAYA&#10;CAAAACEAl+m04tgAAAAHAQAADwAAAAAAAAAAAAAAAAB3BAAAZHJzL2Rvd25yZXYueG1sUEsFBgAA&#10;AAAEAAQA8wAAAHwFAAAAAA==&#10;"/>
              </w:pict>
            </w:r>
          </w:p>
        </w:tc>
        <w:tc>
          <w:tcPr>
            <w:tcW w:w="5245" w:type="dxa"/>
          </w:tcPr>
          <w:p w:rsidR="00C83FF9" w:rsidRPr="00E264B8" w:rsidRDefault="00C83FF9" w:rsidP="00C61238">
            <w:pPr>
              <w:widowControl w:val="0"/>
              <w:jc w:val="center"/>
              <w:rPr>
                <w:b/>
                <w:spacing w:val="-22"/>
                <w:sz w:val="26"/>
                <w:szCs w:val="26"/>
              </w:rPr>
            </w:pPr>
            <w:r w:rsidRPr="00E264B8">
              <w:rPr>
                <w:b/>
                <w:spacing w:val="-22"/>
                <w:sz w:val="26"/>
                <w:szCs w:val="26"/>
              </w:rPr>
              <w:t>CỘNG HOÀ XÃ HỘI CHỦ NGHĨA VIỆT NAM</w:t>
            </w:r>
          </w:p>
          <w:p w:rsidR="00C83FF9" w:rsidRPr="00C0045C" w:rsidRDefault="00C83FF9" w:rsidP="00C61238">
            <w:pPr>
              <w:widowControl w:val="0"/>
              <w:jc w:val="center"/>
              <w:rPr>
                <w:b/>
                <w:szCs w:val="26"/>
                <w:lang w:val="en-US"/>
              </w:rPr>
            </w:pPr>
            <w:r w:rsidRPr="00C0045C">
              <w:rPr>
                <w:b/>
                <w:szCs w:val="26"/>
              </w:rPr>
              <w:t>Độc lập - Tự do - Hạnh phúc</w:t>
            </w:r>
          </w:p>
          <w:p w:rsidR="00C83FF9" w:rsidRPr="005E3E86" w:rsidRDefault="00C81FD7" w:rsidP="00C61238">
            <w:pPr>
              <w:widowControl w:val="0"/>
              <w:jc w:val="center"/>
              <w:rPr>
                <w:b/>
                <w:sz w:val="26"/>
                <w:szCs w:val="26"/>
              </w:rPr>
            </w:pPr>
            <w:r>
              <w:rPr>
                <w:b/>
                <w:noProof/>
                <w:sz w:val="26"/>
                <w:szCs w:val="26"/>
                <w:lang w:val="en-US"/>
              </w:rPr>
              <w:pict>
                <v:line id="Straight Connector 1" o:spid="_x0000_s1028" style="position:absolute;left:0;text-align:left;z-index:251659264;visibility:visible" from="71.8pt,2.25pt" to="17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7iItC2gAAAAcBAAAPAAAAZHJzL2Rvd25yZXYueG1sTI7BTsMwEETv&#10;SPyDtUhcKurQtBWEOBUCcuuFAuK6jZckIl6nsdsGvr4LFzg+zWjm5avRdepAQ2g9G7ieJqCIK29b&#10;rg28vpRXN6BCRLbYeSYDXxRgVZyf5ZhZf+RnOmxirWSEQ4YGmhj7TOtQNeQwTH1PLNmHHxxGwaHW&#10;dsCjjLtOz5JkqR22LA8N9vTQUPW52TsDoXyjXfk9qSbJe1p7mu0e109ozOXFeH8HKtIY/8rwoy/q&#10;UIjT1u/ZBtUJz9OlVA3MF6AkTxe3wttf1kWu//sXJwAAAP//AwBQSwECLQAUAAYACAAAACEAtoM4&#10;kv4AAADhAQAAEwAAAAAAAAAAAAAAAAAAAAAAW0NvbnRlbnRfVHlwZXNdLnhtbFBLAQItABQABgAI&#10;AAAAIQA4/SH/1gAAAJQBAAALAAAAAAAAAAAAAAAAAC8BAABfcmVscy8ucmVsc1BLAQItABQABgAI&#10;AAAAIQDKdfl7HQIAADYEAAAOAAAAAAAAAAAAAAAAAC4CAABkcnMvZTJvRG9jLnhtbFBLAQItABQA&#10;BgAIAAAAIQD7iItC2gAAAAcBAAAPAAAAAAAAAAAAAAAAAHcEAABkcnMvZG93bnJldi54bWxQSwUG&#10;AAAAAAQABADzAAAAfgUAAAAA&#10;"/>
              </w:pict>
            </w:r>
          </w:p>
        </w:tc>
      </w:tr>
    </w:tbl>
    <w:p w:rsidR="00C83FF9" w:rsidRPr="00FC462F" w:rsidRDefault="00C83FF9" w:rsidP="00C61238">
      <w:pPr>
        <w:widowControl w:val="0"/>
        <w:tabs>
          <w:tab w:val="left" w:pos="-3420"/>
        </w:tabs>
        <w:spacing w:before="240" w:after="240" w:line="360" w:lineRule="auto"/>
        <w:jc w:val="center"/>
        <w:rPr>
          <w:b/>
          <w:lang w:val="en-US"/>
        </w:rPr>
      </w:pPr>
      <w:r w:rsidRPr="00FC462F">
        <w:rPr>
          <w:b/>
          <w:lang w:val="en-US"/>
        </w:rPr>
        <w:t>BÁO CÁO ĐÁNH GIÁ TÁC ĐỘNG</w:t>
      </w:r>
    </w:p>
    <w:p w:rsidR="00DA4FF7" w:rsidRDefault="00C83FF9" w:rsidP="00C61238">
      <w:pPr>
        <w:widowControl w:val="0"/>
        <w:tabs>
          <w:tab w:val="left" w:pos="-3420"/>
        </w:tabs>
        <w:contextualSpacing/>
        <w:jc w:val="center"/>
        <w:rPr>
          <w:b/>
          <w:lang w:val="en-US"/>
        </w:rPr>
      </w:pPr>
      <w:r>
        <w:rPr>
          <w:b/>
          <w:lang w:val="en-US"/>
        </w:rPr>
        <w:t xml:space="preserve">Dự thảo </w:t>
      </w:r>
      <w:r w:rsidR="00076C34" w:rsidRPr="00076C34">
        <w:rPr>
          <w:b/>
          <w:lang w:val="en-US"/>
        </w:rPr>
        <w:t xml:space="preserve">Quyết định </w:t>
      </w:r>
      <w:r w:rsidR="005D0121">
        <w:rPr>
          <w:b/>
          <w:lang w:val="en-US"/>
        </w:rPr>
        <w:t>của Thủ tướng Chính phủ</w:t>
      </w:r>
      <w:r w:rsidR="00076C34">
        <w:rPr>
          <w:b/>
          <w:lang w:val="en-US"/>
        </w:rPr>
        <w:br/>
      </w:r>
      <w:r w:rsidR="00076C34" w:rsidRPr="00076C34">
        <w:rPr>
          <w:b/>
          <w:lang w:val="en-US"/>
        </w:rPr>
        <w:t>về mã định danh điện tử</w:t>
      </w:r>
      <w:r w:rsidR="00045AF0">
        <w:rPr>
          <w:b/>
          <w:lang w:val="en-US"/>
        </w:rPr>
        <w:t xml:space="preserve"> của các</w:t>
      </w:r>
      <w:r w:rsidR="00076C34" w:rsidRPr="00076C34">
        <w:rPr>
          <w:b/>
          <w:lang w:val="en-US"/>
        </w:rPr>
        <w:t xml:space="preserve"> cơ quan, tổ chức</w:t>
      </w:r>
    </w:p>
    <w:p w:rsidR="00935985" w:rsidRDefault="00C81FD7" w:rsidP="00C61238">
      <w:pPr>
        <w:widowControl w:val="0"/>
        <w:spacing w:line="360" w:lineRule="auto"/>
        <w:jc w:val="center"/>
        <w:rPr>
          <w:b/>
          <w:lang w:val="en-US"/>
        </w:rPr>
      </w:pPr>
      <w:r>
        <w:rPr>
          <w:b/>
          <w:noProof/>
          <w:lang w:val="en-US"/>
        </w:rPr>
        <w:pict>
          <v:line id="Straight Connector 3" o:spid="_x0000_s1027" style="position:absolute;left:0;text-align:left;z-index:251661312;visibility:visible;mso-width-relative:margin;mso-height-relative:margin" from="162.65pt,4.7pt" to="307.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6xzgEAAAMEAAAOAAAAZHJzL2Uyb0RvYy54bWysU02L2zAQvRf6H4TuGzsbKMHE2UOW7WVp&#10;Q7f9AVp5FAskjRip+fj3HSmJs7SF0tKL7JHmvZn3NFo9HL0Te6BkMfRyPmulgKBxsGHXy29fn+6W&#10;UqSswqAcBujlCZJ8WL9/tzrEDu5xRDcACSYJqTvEXo45x65pkh7BqzTDCIEPDZJXmUPaNQOpA7N7&#10;19y37YfmgDREQg0p8e7j+VCuK78xoPNnYxJk4XrJveW6Ul1fy9qsV6rbkYqj1Zc21D904ZUNXHSi&#10;elRZie9kf6HyVhMmNHmm0TdojNVQNbCaefuTmpdRRaha2JwUJ5vS/6PVn/ZbEnbo5UKKoDxf0Usm&#10;ZXdjFhsMgQ1EEovi0yGmjtM3YUuXKMUtFdFHQ758WY44Vm9Pk7dwzELz5ny5WCyXfAX6etbcgJFS&#10;/gjoRfnppbOhyFad2j+nzMU49ZpStl0oa0JnhyfrXA3KwMDGkdgrvup8nJeWGfcmi6OCbIqQc+v1&#10;L58cnFm/gGErSrO1eh3CG6fSGkK+8rrA2QVmuIMJ2P4ZeMkvUKgD+jfgCVErY8gT2NuA9LvqNyvM&#10;Of/qwFl3seAVh1O91GoNT1p17vIqyii/jSv89nbXPwAAAP//AwBQSwMEFAAGAAgAAAAhAIafE5Tc&#10;AAAABwEAAA8AAABkcnMvZG93bnJldi54bWxMjrFOwzAURXck/sF6SN2okzZEJcSpqqosiCWhA2xu&#10;/BpHxM9p7DTh7zEsMF7dq3NPvp1Nx644uNaSgHgZAUOqrWqpEXB8e77fAHNekpKdJRTwhQ62xe1N&#10;LjNlJyrxWvmGBQi5TArQ3vcZ567WaKRb2h4pdGc7GOlDHBquBjkFuOn4KopSbmRL4UHLHvca689q&#10;NAJeLq/umKTloXy/bKrp4zzqxqIQi7t59wTM4+z/xvCjH9ShCE4nO5JyrBOwXj2sw1TAYwIs9Gmc&#10;xMBOv5kXOf/vX3wDAAD//wMAUEsBAi0AFAAGAAgAAAAhALaDOJL+AAAA4QEAABMAAAAAAAAAAAAA&#10;AAAAAAAAAFtDb250ZW50X1R5cGVzXS54bWxQSwECLQAUAAYACAAAACEAOP0h/9YAAACUAQAACwAA&#10;AAAAAAAAAAAAAAAvAQAAX3JlbHMvLnJlbHNQSwECLQAUAAYACAAAACEADUlOsc4BAAADBAAADgAA&#10;AAAAAAAAAAAAAAAuAgAAZHJzL2Uyb0RvYy54bWxQSwECLQAUAAYACAAAACEAhp8TlNwAAAAHAQAA&#10;DwAAAAAAAAAAAAAAAAAoBAAAZHJzL2Rvd25yZXYueG1sUEsFBgAAAAAEAAQA8wAAADEFAAAAAA==&#10;" strokecolor="black [3213]"/>
        </w:pict>
      </w:r>
    </w:p>
    <w:p w:rsidR="00C83FF9" w:rsidRDefault="00657453" w:rsidP="00C61238">
      <w:pPr>
        <w:widowControl w:val="0"/>
        <w:spacing w:line="360" w:lineRule="auto"/>
        <w:ind w:firstLine="567"/>
        <w:jc w:val="both"/>
        <w:rPr>
          <w:b/>
          <w:lang w:val="en-US"/>
        </w:rPr>
      </w:pPr>
      <w:r w:rsidRPr="00085B1D">
        <w:rPr>
          <w:b/>
          <w:lang w:val="en-US"/>
        </w:rPr>
        <w:t>I. XÁC ĐỊNH NHỮNG VẤN ĐỀ BẤT CẬP</w:t>
      </w:r>
    </w:p>
    <w:p w:rsidR="00EF1ECE" w:rsidRPr="00A6212E" w:rsidRDefault="00EF1ECE" w:rsidP="00C61238">
      <w:pPr>
        <w:widowControl w:val="0"/>
        <w:spacing w:line="360" w:lineRule="auto"/>
        <w:ind w:firstLine="567"/>
        <w:jc w:val="both"/>
        <w:rPr>
          <w:b/>
          <w:lang w:val="en-US"/>
        </w:rPr>
      </w:pPr>
      <w:r w:rsidRPr="00A6212E">
        <w:rPr>
          <w:b/>
          <w:lang w:val="en-US"/>
        </w:rPr>
        <w:t>1. Bối cảnh xây dựng</w:t>
      </w:r>
      <w:r w:rsidR="007E209B">
        <w:rPr>
          <w:b/>
          <w:lang w:val="en-US"/>
        </w:rPr>
        <w:t xml:space="preserve"> văn bản</w:t>
      </w:r>
    </w:p>
    <w:p w:rsidR="00657453" w:rsidRDefault="00357FCD" w:rsidP="00C61238">
      <w:pPr>
        <w:widowControl w:val="0"/>
        <w:spacing w:before="120" w:after="120" w:line="340" w:lineRule="exact"/>
        <w:ind w:firstLine="567"/>
        <w:jc w:val="both"/>
        <w:rPr>
          <w:lang w:val="nl-NL"/>
        </w:rPr>
      </w:pPr>
      <w:r>
        <w:rPr>
          <w:szCs w:val="26"/>
          <w:lang w:val="en-US"/>
        </w:rPr>
        <w:t xml:space="preserve">Ngày </w:t>
      </w:r>
      <w:r w:rsidR="00657453">
        <w:rPr>
          <w:szCs w:val="26"/>
          <w:lang w:val="en-US"/>
        </w:rPr>
        <w:t>07</w:t>
      </w:r>
      <w:r w:rsidRPr="00963FC5">
        <w:rPr>
          <w:szCs w:val="26"/>
        </w:rPr>
        <w:t>/</w:t>
      </w:r>
      <w:r w:rsidR="00657453">
        <w:rPr>
          <w:szCs w:val="26"/>
          <w:lang w:val="en-US"/>
        </w:rPr>
        <w:t>3</w:t>
      </w:r>
      <w:r w:rsidRPr="00963FC5">
        <w:rPr>
          <w:szCs w:val="26"/>
        </w:rPr>
        <w:t>/201</w:t>
      </w:r>
      <w:r w:rsidR="00657453">
        <w:rPr>
          <w:szCs w:val="26"/>
          <w:lang w:val="en-US"/>
        </w:rPr>
        <w:t>9</w:t>
      </w:r>
      <w:r w:rsidRPr="00963FC5">
        <w:rPr>
          <w:szCs w:val="26"/>
        </w:rPr>
        <w:t xml:space="preserve"> </w:t>
      </w:r>
      <w:r>
        <w:rPr>
          <w:szCs w:val="26"/>
          <w:lang w:val="en-US"/>
        </w:rPr>
        <w:t xml:space="preserve">Chính phủ đã </w:t>
      </w:r>
      <w:r w:rsidR="00657453">
        <w:rPr>
          <w:szCs w:val="26"/>
          <w:lang w:val="en-US"/>
        </w:rPr>
        <w:t xml:space="preserve">ban hành Nghị quyết số </w:t>
      </w:r>
      <w:r w:rsidR="00657453" w:rsidRPr="00AF6979">
        <w:rPr>
          <w:lang w:val="nl-NL"/>
        </w:rPr>
        <w:t>17/NQ-CP</w:t>
      </w:r>
      <w:r w:rsidR="00657453">
        <w:rPr>
          <w:lang w:val="nl-NL"/>
        </w:rPr>
        <w:t xml:space="preserve"> </w:t>
      </w:r>
      <w:r w:rsidR="00657453" w:rsidRPr="00657453">
        <w:rPr>
          <w:lang w:val="nl-NL"/>
        </w:rPr>
        <w:t>về một số nhiệm vụ, giải pháp trọng tâm phát triển Chính phủ điện tử giai đoạn 2019 - 2020, định hướng đến 2025</w:t>
      </w:r>
      <w:r w:rsidR="00657453">
        <w:rPr>
          <w:lang w:val="nl-NL"/>
        </w:rPr>
        <w:t xml:space="preserve">. </w:t>
      </w:r>
      <w:r w:rsidR="00A707F5" w:rsidRPr="00A707F5">
        <w:rPr>
          <w:lang w:val="nl-NL"/>
        </w:rPr>
        <w:t>Một trong những nhiệm vụ và giải pháp để hoàn thành các mục tiêu và chỉ tiêu theo Nghị quyết số 17/NQ-CP là xây dựng, hoàn thiện thể chế tạo cơ sở pháp lý đầy đủ, toàn diện cho việc triển khai xây dựng, phát triển Chính phủ điện tử, trong đó có nhiệm vụ cụ thể là nghiên cứu, xây dựng bộ mã định danh điện tử của các cơ quan, tổ chức thống nhất theo tiêu chuẩn quốc tế phục vụ kết nối, chia sẻ dữ liệu của tất cả các hệ thống thông tin, cơ sở dữ liệu</w:t>
      </w:r>
      <w:r w:rsidR="00657453">
        <w:rPr>
          <w:lang w:val="nl-NL"/>
        </w:rPr>
        <w:t>.</w:t>
      </w:r>
    </w:p>
    <w:p w:rsidR="00A707F5" w:rsidRDefault="00A707F5" w:rsidP="00C61238">
      <w:pPr>
        <w:widowControl w:val="0"/>
        <w:spacing w:before="120" w:after="120" w:line="340" w:lineRule="exact"/>
        <w:ind w:firstLine="567"/>
        <w:jc w:val="both"/>
        <w:rPr>
          <w:lang w:val="nl-NL"/>
        </w:rPr>
      </w:pPr>
      <w:r w:rsidRPr="00A707F5">
        <w:rPr>
          <w:lang w:val="nl-NL"/>
        </w:rPr>
        <w:t>Thực hiện nhiệm vụ được giao theo Nghị quyết số 17/NQ-CP về nghiên cứu, xây dựng bộ mã định danh điện tử của các cơ quan, tổ chức thống nhất theo tiêu chuẩn quốc tế phục vụ kết nối, chia sẻ dữ liệu của tất cả các hệ thống thông tin, cơ sở dữ liệu của các bộ, ngành, địa phương để trình Thủ tướng Chính phủ ban hành</w:t>
      </w:r>
      <w:r w:rsidR="00AE4926">
        <w:rPr>
          <w:lang w:val="nl-NL"/>
        </w:rPr>
        <w:t xml:space="preserve"> (nêu trên)</w:t>
      </w:r>
      <w:r w:rsidRPr="00A707F5">
        <w:rPr>
          <w:lang w:val="nl-NL"/>
        </w:rPr>
        <w:t xml:space="preserve">, Bộ Thông tin và Truyền thông đã </w:t>
      </w:r>
      <w:r w:rsidRPr="00037FBD">
        <w:rPr>
          <w:lang w:val="nl-NL"/>
        </w:rPr>
        <w:t xml:space="preserve">nghiên cứu đánh giá </w:t>
      </w:r>
      <w:r w:rsidR="00037FBD">
        <w:rPr>
          <w:lang w:val="nl-NL"/>
        </w:rPr>
        <w:t xml:space="preserve">các quy định hiện hành liên quan đến </w:t>
      </w:r>
      <w:r w:rsidRPr="00037FBD">
        <w:rPr>
          <w:lang w:val="nl-NL"/>
        </w:rPr>
        <w:t>mã định danh điện tử cơ quan, tổ chức v</w:t>
      </w:r>
      <w:r w:rsidRPr="00A707F5">
        <w:rPr>
          <w:lang w:val="nl-NL"/>
        </w:rPr>
        <w:t>à nghiên cứu các tiêu chuẩn quốc tế nhằm đề xuất phương án tối ưu, sử dụng tiêu chuẩn quốc tế nhưng vẫn kế thừa những quy định, tài nguyên hiện có</w:t>
      </w:r>
      <w:r>
        <w:rPr>
          <w:lang w:val="nl-NL"/>
        </w:rPr>
        <w:t>.</w:t>
      </w:r>
    </w:p>
    <w:p w:rsidR="00A707F5" w:rsidRDefault="00A707F5" w:rsidP="00C61238">
      <w:pPr>
        <w:widowControl w:val="0"/>
        <w:spacing w:before="120" w:after="120" w:line="340" w:lineRule="exact"/>
        <w:ind w:firstLine="567"/>
        <w:jc w:val="both"/>
        <w:rPr>
          <w:lang w:val="nl-NL"/>
        </w:rPr>
      </w:pPr>
      <w:r w:rsidRPr="00A707F5">
        <w:rPr>
          <w:lang w:val="nl-NL"/>
        </w:rPr>
        <w:t xml:space="preserve">Khoản 11 Điều 3 của Luật Tố tụng hành chính </w:t>
      </w:r>
      <w:r w:rsidR="00AE4926">
        <w:rPr>
          <w:lang w:val="nl-NL"/>
        </w:rPr>
        <w:t>quy định</w:t>
      </w:r>
      <w:r w:rsidRPr="00A707F5">
        <w:rPr>
          <w:lang w:val="nl-NL"/>
        </w:rPr>
        <w:t xml:space="preserve"> cơ quan, tổ chức bao gồm: cơ quan nhà nước, tổ chức chính trị, tổ chức chính trị - xã hội, tổ chức chính trị - xã hội - nghề nghiệp, tổ chức kinh tế, đơn vị sự nghiệp công lập, đơn vị lực lượng vũ trang nhân dân và các tổ chức khác được thành lập và hoạt động theo quy định của pháp luật.</w:t>
      </w:r>
      <w:r w:rsidR="00AE4926">
        <w:rPr>
          <w:lang w:val="nl-NL"/>
        </w:rPr>
        <w:t xml:space="preserve"> Theo đó</w:t>
      </w:r>
      <w:r w:rsidRPr="00A707F5">
        <w:rPr>
          <w:lang w:val="nl-NL"/>
        </w:rPr>
        <w:t>, các loại hình cơ quan, tổ chức là rất rộng. Hệ thống văn bản quy phạm pháp luật của Việt Nam chưa có quy định về mã định danh cơ quan, tổ chức thống nhất bao phủ được tất cả các loại hình cơ quan, tổ chức nói trên mà chỉ có các quy định riêng cho một số đối tượng như: mã định danh của cơ quan, đơn vị tham gia trao đổi văn bản điện tử thông qua hệ thống quản lý văn bản và điều hành, mã số đơn vị có quan hệ với ngân sách hay mã số doanh nghiệp...</w:t>
      </w:r>
      <w:r w:rsidR="00AE4926">
        <w:rPr>
          <w:lang w:val="nl-NL"/>
        </w:rPr>
        <w:t xml:space="preserve"> Hiện tại, các mã định danh điện tử của một số loại hình cơ quan, tổ chức như nêu trên đang được sử dụng hiệu qu</w:t>
      </w:r>
      <w:r w:rsidR="003B5B8B">
        <w:rPr>
          <w:lang w:val="nl-NL"/>
        </w:rPr>
        <w:t>ả</w:t>
      </w:r>
      <w:r w:rsidR="00AE4926">
        <w:rPr>
          <w:lang w:val="nl-NL"/>
        </w:rPr>
        <w:t xml:space="preserve"> trong việc định </w:t>
      </w:r>
      <w:r w:rsidR="00AE4926">
        <w:rPr>
          <w:lang w:val="nl-NL"/>
        </w:rPr>
        <w:lastRenderedPageBreak/>
        <w:t>danh các loại hình cơ quan, tổ chức đó.</w:t>
      </w:r>
    </w:p>
    <w:p w:rsidR="00AE4926" w:rsidRDefault="00AE4926" w:rsidP="00C61238">
      <w:pPr>
        <w:widowControl w:val="0"/>
        <w:spacing w:before="120" w:after="120" w:line="340" w:lineRule="exact"/>
        <w:ind w:firstLine="567"/>
        <w:jc w:val="both"/>
        <w:rPr>
          <w:lang w:val="nl-NL"/>
        </w:rPr>
      </w:pPr>
      <w:r w:rsidRPr="00AE4926">
        <w:rPr>
          <w:lang w:val="nl-NL"/>
        </w:rPr>
        <w:t xml:space="preserve">Vấn đề đặt ra là làm thế nào </w:t>
      </w:r>
      <w:r w:rsidR="003B5B8B">
        <w:rPr>
          <w:lang w:val="nl-NL"/>
        </w:rPr>
        <w:t xml:space="preserve">để </w:t>
      </w:r>
      <w:r w:rsidRPr="00AE4926">
        <w:rPr>
          <w:lang w:val="nl-NL"/>
        </w:rPr>
        <w:t>xây dựng được quy định về mã định danh điện tử của cơ quan, tổ chức bao phủ được tất cả các loại hình cơ quan, tổ chức, và đảm bảo khả thi trong việc đánh mã định danh điện tử, quản lý mã định danh điện tử và kế thừa được những quy định hiện tại.</w:t>
      </w:r>
    </w:p>
    <w:p w:rsidR="00AE4926" w:rsidRPr="00AE4926" w:rsidRDefault="00AE4926" w:rsidP="00C61238">
      <w:pPr>
        <w:widowControl w:val="0"/>
        <w:spacing w:before="120" w:after="120" w:line="340" w:lineRule="exact"/>
        <w:ind w:firstLine="567"/>
        <w:jc w:val="both"/>
        <w:rPr>
          <w:lang w:val="nl-NL"/>
        </w:rPr>
      </w:pPr>
      <w:r>
        <w:rPr>
          <w:lang w:val="nl-NL"/>
        </w:rPr>
        <w:t xml:space="preserve">Về kinh nghiệm quốc tế, Tiêu chuẩn </w:t>
      </w:r>
      <w:r w:rsidRPr="00AE4926">
        <w:rPr>
          <w:lang w:val="nl-NL"/>
        </w:rPr>
        <w:t xml:space="preserve">ISO/IEC 6523 </w:t>
      </w:r>
      <w:r w:rsidR="00076C34">
        <w:rPr>
          <w:lang w:val="nl-NL"/>
        </w:rPr>
        <w:t xml:space="preserve">về </w:t>
      </w:r>
      <w:r w:rsidRPr="00AE4926">
        <w:rPr>
          <w:lang w:val="nl-NL"/>
        </w:rPr>
        <w:t xml:space="preserve">Công nghệ thông tin </w:t>
      </w:r>
      <w:r w:rsidR="00076C34">
        <w:rPr>
          <w:lang w:val="nl-NL"/>
        </w:rPr>
        <w:t>là tiêu chuẩn quy định</w:t>
      </w:r>
      <w:r w:rsidRPr="00AE4926">
        <w:rPr>
          <w:lang w:val="nl-NL"/>
        </w:rPr>
        <w:t xml:space="preserve"> </w:t>
      </w:r>
      <w:r w:rsidR="00076C34">
        <w:rPr>
          <w:lang w:val="nl-NL"/>
        </w:rPr>
        <w:t>c</w:t>
      </w:r>
      <w:r w:rsidRPr="00AE4926">
        <w:rPr>
          <w:lang w:val="nl-NL"/>
        </w:rPr>
        <w:t>ấu trúc định danh cho tổ chức và các bộ phận của tổ chức</w:t>
      </w:r>
      <w:r w:rsidR="007E209B">
        <w:rPr>
          <w:lang w:val="nl-NL"/>
        </w:rPr>
        <w:t xml:space="preserve"> (tương đương với TCVN 7820)</w:t>
      </w:r>
      <w:r w:rsidR="00076C34">
        <w:rPr>
          <w:lang w:val="nl-NL"/>
        </w:rPr>
        <w:t>. Tiêu chuẩn này</w:t>
      </w:r>
      <w:r w:rsidRPr="00AE4926">
        <w:rPr>
          <w:lang w:val="nl-NL"/>
        </w:rPr>
        <w:t xml:space="preserve"> gồm có 2 phần: Phần 1 - Định danh các lược đồ định danh của tổ chức và Phần 2 - Đăng ký các lược đồ định danh của tổ chức. Nội dung cơ bản của tiêu chuẩn như sau:</w:t>
      </w:r>
    </w:p>
    <w:p w:rsidR="00AE4926" w:rsidRPr="00AE4926" w:rsidRDefault="00AE4926" w:rsidP="00C61238">
      <w:pPr>
        <w:widowControl w:val="0"/>
        <w:spacing w:before="120" w:after="120" w:line="340" w:lineRule="exact"/>
        <w:ind w:firstLine="567"/>
        <w:jc w:val="both"/>
        <w:rPr>
          <w:lang w:val="nl-NL"/>
        </w:rPr>
      </w:pPr>
      <w:r w:rsidRPr="00AE4926">
        <w:rPr>
          <w:lang w:val="nl-NL"/>
        </w:rPr>
        <w:t>- Các thành phần của cấu trúc mã định danh điện tử tổ chức gồm có:</w:t>
      </w:r>
    </w:p>
    <w:p w:rsidR="00AE4926" w:rsidRPr="00AE4926" w:rsidRDefault="00AE4926" w:rsidP="00C61238">
      <w:pPr>
        <w:widowControl w:val="0"/>
        <w:spacing w:before="120" w:after="120" w:line="340" w:lineRule="exact"/>
        <w:ind w:firstLine="567"/>
        <w:jc w:val="both"/>
        <w:rPr>
          <w:lang w:val="nl-NL"/>
        </w:rPr>
      </w:pPr>
      <w:r w:rsidRPr="00AE4926">
        <w:rPr>
          <w:lang w:val="nl-NL"/>
        </w:rPr>
        <w:t>+ một mã ký hiệu mã quốc tế (ICD), là mã duy nhất xác định đơn vị phát hành mã định danh trong tổ chức, tối đa 4 ký tự số;</w:t>
      </w:r>
    </w:p>
    <w:p w:rsidR="00AE4926" w:rsidRPr="00AE4926" w:rsidRDefault="00AE4926" w:rsidP="00C61238">
      <w:pPr>
        <w:widowControl w:val="0"/>
        <w:tabs>
          <w:tab w:val="left" w:pos="851"/>
        </w:tabs>
        <w:spacing w:before="120" w:after="120" w:line="340" w:lineRule="exact"/>
        <w:ind w:firstLine="567"/>
        <w:jc w:val="both"/>
        <w:rPr>
          <w:lang w:val="nl-NL"/>
        </w:rPr>
      </w:pPr>
      <w:r w:rsidRPr="00AE4926">
        <w:rPr>
          <w:lang w:val="nl-NL"/>
        </w:rPr>
        <w:t>+ một mã định danh tổ chức, tối đa 35 ký tự;</w:t>
      </w:r>
    </w:p>
    <w:p w:rsidR="00AE4926" w:rsidRPr="00AE4926" w:rsidRDefault="00AE4926" w:rsidP="00C61238">
      <w:pPr>
        <w:widowControl w:val="0"/>
        <w:spacing w:before="120" w:after="120" w:line="340" w:lineRule="exact"/>
        <w:ind w:firstLine="567"/>
        <w:jc w:val="both"/>
        <w:rPr>
          <w:lang w:val="nl-NL"/>
        </w:rPr>
      </w:pPr>
      <w:r w:rsidRPr="00AE4926">
        <w:rPr>
          <w:lang w:val="nl-NL"/>
        </w:rPr>
        <w:t>+ (tùy chọn) một mã định danh bộ phận tổ chức, tối đa 35 ký tự;</w:t>
      </w:r>
    </w:p>
    <w:p w:rsidR="00AE4926" w:rsidRPr="00AE4926" w:rsidRDefault="00AE4926" w:rsidP="00C61238">
      <w:pPr>
        <w:widowControl w:val="0"/>
        <w:spacing w:before="120" w:after="120" w:line="340" w:lineRule="exact"/>
        <w:ind w:firstLine="567"/>
        <w:jc w:val="both"/>
        <w:rPr>
          <w:lang w:val="nl-NL"/>
        </w:rPr>
      </w:pPr>
      <w:r w:rsidRPr="00AE4926">
        <w:rPr>
          <w:lang w:val="nl-NL"/>
        </w:rPr>
        <w:t>+ (tùy chọn) chỉ dẫn nguồn, 1 ký tự số, xác định đơn vị cấp mã định danh bộ phận tổ chức.</w:t>
      </w:r>
    </w:p>
    <w:p w:rsidR="00AE4926" w:rsidRPr="00AE4926" w:rsidRDefault="00AE4926" w:rsidP="00C61238">
      <w:pPr>
        <w:widowControl w:val="0"/>
        <w:spacing w:before="120" w:after="120" w:line="340" w:lineRule="exact"/>
        <w:ind w:firstLine="567"/>
        <w:jc w:val="both"/>
        <w:rPr>
          <w:lang w:val="nl-NL"/>
        </w:rPr>
      </w:pPr>
      <w:r w:rsidRPr="00AE4926">
        <w:rPr>
          <w:lang w:val="nl-NL"/>
        </w:rPr>
        <w:t>- Việc đăng ký mã ICD và lược đồ định danh của tổ chức: Quy trình, thủ tục và biểu mẫu đăng ký mã ICD với cơ quan có thẩm quyền do tổ chức ISO chỉ định.</w:t>
      </w:r>
    </w:p>
    <w:p w:rsidR="007B3B21" w:rsidRPr="007B3B21" w:rsidRDefault="00AE4926" w:rsidP="00C61238">
      <w:pPr>
        <w:widowControl w:val="0"/>
        <w:spacing w:before="120" w:after="120" w:line="340" w:lineRule="exact"/>
        <w:ind w:firstLine="567"/>
        <w:jc w:val="both"/>
        <w:rPr>
          <w:lang w:val="en-US"/>
        </w:rPr>
      </w:pPr>
      <w:r w:rsidRPr="00AE4926">
        <w:rPr>
          <w:lang w:val="nl-NL"/>
        </w:rPr>
        <w:t xml:space="preserve">Với cách quy định theo ISO/IEC 6523, </w:t>
      </w:r>
      <w:r w:rsidR="00076C34">
        <w:rPr>
          <w:lang w:val="nl-NL"/>
        </w:rPr>
        <w:t xml:space="preserve">các cơ quan, tổ chức có thể sử dụng các mã định danh điện tử cơ quan, tổ chức có sẵn để định danh </w:t>
      </w:r>
      <w:r w:rsidR="00511223">
        <w:rPr>
          <w:lang w:val="nl-NL"/>
        </w:rPr>
        <w:t>nên sẽ đảm bảo bao phủ được tất cả các loại hình cơ quan, tổ chức</w:t>
      </w:r>
      <w:r w:rsidRPr="00AE4926">
        <w:rPr>
          <w:lang w:val="nl-NL"/>
        </w:rPr>
        <w:t>.</w:t>
      </w:r>
    </w:p>
    <w:p w:rsidR="0010138D" w:rsidRPr="00A6212E" w:rsidRDefault="00702738" w:rsidP="00C61238">
      <w:pPr>
        <w:widowControl w:val="0"/>
        <w:spacing w:before="120" w:after="120"/>
        <w:ind w:firstLine="567"/>
        <w:jc w:val="both"/>
        <w:rPr>
          <w:b/>
          <w:lang w:val="en-US"/>
        </w:rPr>
      </w:pPr>
      <w:r w:rsidRPr="00A6212E">
        <w:rPr>
          <w:b/>
          <w:lang w:val="en-US"/>
        </w:rPr>
        <w:t xml:space="preserve">2. Mục tiêu xây dựng </w:t>
      </w:r>
      <w:r w:rsidR="00076C34">
        <w:rPr>
          <w:b/>
          <w:lang w:val="en-US"/>
        </w:rPr>
        <w:t>văn bản</w:t>
      </w:r>
    </w:p>
    <w:p w:rsidR="00076C34" w:rsidRDefault="00076C34" w:rsidP="00C61238">
      <w:pPr>
        <w:widowControl w:val="0"/>
        <w:spacing w:before="120" w:after="120" w:line="360" w:lineRule="exact"/>
        <w:ind w:firstLine="567"/>
        <w:jc w:val="both"/>
        <w:rPr>
          <w:szCs w:val="26"/>
          <w:lang w:val="en-US"/>
        </w:rPr>
      </w:pPr>
      <w:r>
        <w:rPr>
          <w:szCs w:val="26"/>
          <w:lang w:val="en-US"/>
        </w:rPr>
        <w:t xml:space="preserve">Từ </w:t>
      </w:r>
      <w:r w:rsidR="00511223">
        <w:rPr>
          <w:szCs w:val="26"/>
          <w:lang w:val="en-US"/>
        </w:rPr>
        <w:t xml:space="preserve">nội dung nhiệm vụ được giao theo Nghị quyết số 17/NQ-CP; </w:t>
      </w:r>
      <w:r>
        <w:rPr>
          <w:szCs w:val="26"/>
          <w:lang w:val="en-US"/>
        </w:rPr>
        <w:t>quy định về các loại hình cơ quan, tổ chức của Việt Nam và hiện trạng mã định danh điện tử của các cơ quan, tổ chức đã có quy định tại Việt Nam, mục tiêu xây dựng Văn bản Pháp luật cần đạt được là</w:t>
      </w:r>
      <w:r w:rsidR="00511223">
        <w:rPr>
          <w:szCs w:val="26"/>
          <w:lang w:val="en-US"/>
        </w:rPr>
        <w:t>:</w:t>
      </w:r>
    </w:p>
    <w:p w:rsidR="00076C34" w:rsidRPr="00076C34" w:rsidRDefault="00076C34" w:rsidP="00C61238">
      <w:pPr>
        <w:widowControl w:val="0"/>
        <w:spacing w:before="120" w:after="120" w:line="360" w:lineRule="exact"/>
        <w:ind w:firstLine="567"/>
        <w:jc w:val="both"/>
        <w:rPr>
          <w:szCs w:val="26"/>
          <w:lang w:val="en-US"/>
        </w:rPr>
      </w:pPr>
      <w:r w:rsidRPr="00076C34">
        <w:rPr>
          <w:szCs w:val="26"/>
          <w:lang w:val="en-US"/>
        </w:rPr>
        <w:t xml:space="preserve">- Quy định mã định danh điện tử cơ quan, tổ chức </w:t>
      </w:r>
      <w:r w:rsidR="00511223" w:rsidRPr="00AF6979">
        <w:rPr>
          <w:lang w:val="nl-NL"/>
        </w:rPr>
        <w:t>thống nhất</w:t>
      </w:r>
      <w:r w:rsidR="00511223">
        <w:rPr>
          <w:lang w:val="nl-NL"/>
        </w:rPr>
        <w:t>,</w:t>
      </w:r>
      <w:r w:rsidR="00511223" w:rsidRPr="00AF6979">
        <w:rPr>
          <w:lang w:val="nl-NL"/>
        </w:rPr>
        <w:t xml:space="preserve"> </w:t>
      </w:r>
      <w:r w:rsidRPr="00076C34">
        <w:rPr>
          <w:szCs w:val="26"/>
          <w:lang w:val="en-US"/>
        </w:rPr>
        <w:t>đảm bảo bao phủ được các loại hình cơ quan, tổ chức;</w:t>
      </w:r>
    </w:p>
    <w:p w:rsidR="00076C34" w:rsidRPr="00076C34" w:rsidRDefault="00076C34" w:rsidP="00C61238">
      <w:pPr>
        <w:widowControl w:val="0"/>
        <w:spacing w:before="120" w:after="120" w:line="360" w:lineRule="exact"/>
        <w:ind w:firstLine="567"/>
        <w:jc w:val="both"/>
        <w:rPr>
          <w:szCs w:val="26"/>
          <w:lang w:val="en-US"/>
        </w:rPr>
      </w:pPr>
      <w:r w:rsidRPr="00076C34">
        <w:rPr>
          <w:szCs w:val="26"/>
          <w:lang w:val="en-US"/>
        </w:rPr>
        <w:t xml:space="preserve">- Không lãng phí tài nguyên mã, </w:t>
      </w:r>
      <w:r w:rsidRPr="00F10B55">
        <w:rPr>
          <w:szCs w:val="26"/>
          <w:lang w:val="en-US"/>
        </w:rPr>
        <w:t>kế thừa những mã định danh điện</w:t>
      </w:r>
      <w:r w:rsidRPr="00076C34">
        <w:rPr>
          <w:szCs w:val="26"/>
          <w:lang w:val="en-US"/>
        </w:rPr>
        <w:t xml:space="preserve"> tử cơ quan, tổ chức đã có quy định và được sử dụng rộng rãi như: Mã định danh cơ quan, đơn vị tham gia hệ thống quản lý văn bản và điều hành, mã số đơn vị có quan hệ với ngân sách, mã số doanh nghiệp, mã bưu cục...;</w:t>
      </w:r>
    </w:p>
    <w:p w:rsidR="00D542A1" w:rsidRDefault="00076C34" w:rsidP="00C61238">
      <w:pPr>
        <w:widowControl w:val="0"/>
        <w:spacing w:before="120" w:after="120" w:line="360" w:lineRule="exact"/>
        <w:ind w:firstLine="567"/>
        <w:jc w:val="both"/>
        <w:rPr>
          <w:szCs w:val="26"/>
          <w:lang w:val="en-US"/>
        </w:rPr>
      </w:pPr>
      <w:r w:rsidRPr="00076C34">
        <w:rPr>
          <w:szCs w:val="26"/>
          <w:lang w:val="en-US"/>
        </w:rPr>
        <w:t xml:space="preserve">- Phải bảo đảm khả thi việc cấp mã số định danh cho tất cả các cơ quan, tổ chức; quản lý để chia sẻ, kết nối, sử dụng; hình thành cơ sở dữ liệu về mã định </w:t>
      </w:r>
      <w:r w:rsidRPr="00076C34">
        <w:rPr>
          <w:szCs w:val="26"/>
          <w:lang w:val="en-US"/>
        </w:rPr>
        <w:lastRenderedPageBreak/>
        <w:t>danh điện tử của cơ quan, tổ chức;</w:t>
      </w:r>
    </w:p>
    <w:p w:rsidR="00511223" w:rsidRDefault="00511223" w:rsidP="00C61238">
      <w:pPr>
        <w:widowControl w:val="0"/>
        <w:spacing w:before="120" w:after="120" w:line="360" w:lineRule="exact"/>
        <w:ind w:firstLine="567"/>
        <w:jc w:val="both"/>
        <w:rPr>
          <w:lang w:val="en-US"/>
        </w:rPr>
      </w:pPr>
      <w:r>
        <w:rPr>
          <w:szCs w:val="26"/>
          <w:lang w:val="en-US"/>
        </w:rPr>
        <w:t>- Theo tiêu chuẩn quốc tế.</w:t>
      </w:r>
    </w:p>
    <w:p w:rsidR="00A65791" w:rsidRPr="0010704F" w:rsidRDefault="00511223" w:rsidP="00C61238">
      <w:pPr>
        <w:widowControl w:val="0"/>
        <w:spacing w:before="120" w:after="120"/>
        <w:ind w:firstLine="567"/>
        <w:jc w:val="both"/>
        <w:rPr>
          <w:b/>
          <w:lang w:val="en-US"/>
        </w:rPr>
      </w:pPr>
      <w:r w:rsidRPr="0010704F">
        <w:rPr>
          <w:b/>
          <w:lang w:val="en-US"/>
        </w:rPr>
        <w:t>II. ĐÁNH GIÁ TÁC ĐỘNG CỦ</w:t>
      </w:r>
      <w:r>
        <w:rPr>
          <w:b/>
          <w:lang w:val="en-US"/>
        </w:rPr>
        <w:t>A VĂN BẢN</w:t>
      </w:r>
    </w:p>
    <w:p w:rsidR="005E36E6" w:rsidRDefault="00A6212E" w:rsidP="00C61238">
      <w:pPr>
        <w:widowControl w:val="0"/>
        <w:spacing w:before="120" w:after="120" w:line="360" w:lineRule="exact"/>
        <w:ind w:firstLine="567"/>
        <w:jc w:val="both"/>
        <w:rPr>
          <w:b/>
          <w:lang w:val="en-US"/>
        </w:rPr>
      </w:pPr>
      <w:r w:rsidRPr="00A429DE">
        <w:rPr>
          <w:b/>
          <w:lang w:val="en-US"/>
        </w:rPr>
        <w:t xml:space="preserve">1. </w:t>
      </w:r>
      <w:r w:rsidR="00DD72FD">
        <w:rPr>
          <w:b/>
          <w:lang w:val="en-US"/>
        </w:rPr>
        <w:t>Chính sách</w:t>
      </w:r>
      <w:r w:rsidRPr="00A429DE">
        <w:rPr>
          <w:b/>
          <w:lang w:val="en-US"/>
        </w:rPr>
        <w:t xml:space="preserve"> 1:</w:t>
      </w:r>
      <w:r w:rsidR="00045AF0">
        <w:rPr>
          <w:b/>
          <w:lang w:val="en-US"/>
        </w:rPr>
        <w:t xml:space="preserve"> </w:t>
      </w:r>
      <w:r w:rsidR="00045051">
        <w:rPr>
          <w:lang w:val="en-US"/>
        </w:rPr>
        <w:t>Quy định mã định danh điện tử cơ quan, tổ chức thống nhất theo tiêu chuẩn quốc tế</w:t>
      </w:r>
      <w:r w:rsidR="005B22D7">
        <w:rPr>
          <w:lang w:val="en-US"/>
        </w:rPr>
        <w:t xml:space="preserve"> và bao phủ được tất cả các loại hình cơ quan, tổ chức.</w:t>
      </w:r>
    </w:p>
    <w:p w:rsidR="00A429DE" w:rsidRDefault="00773A05" w:rsidP="00C61238">
      <w:pPr>
        <w:widowControl w:val="0"/>
        <w:spacing w:before="120" w:after="120" w:line="360" w:lineRule="exact"/>
        <w:ind w:firstLine="567"/>
        <w:jc w:val="both"/>
        <w:rPr>
          <w:b/>
          <w:lang w:val="en-US"/>
        </w:rPr>
      </w:pPr>
      <w:r>
        <w:rPr>
          <w:b/>
          <w:lang w:val="en-US"/>
        </w:rPr>
        <w:t>1.1. Xác định vấn đề</w:t>
      </w:r>
      <w:r w:rsidR="00045051">
        <w:rPr>
          <w:b/>
          <w:lang w:val="en-US"/>
        </w:rPr>
        <w:t xml:space="preserve"> bất cập</w:t>
      </w:r>
    </w:p>
    <w:p w:rsidR="00045051" w:rsidRPr="00045051" w:rsidRDefault="00045051" w:rsidP="00C61238">
      <w:pPr>
        <w:widowControl w:val="0"/>
        <w:tabs>
          <w:tab w:val="left" w:pos="-3420"/>
        </w:tabs>
        <w:spacing w:before="120" w:after="120" w:line="360" w:lineRule="exact"/>
        <w:ind w:firstLine="567"/>
        <w:jc w:val="both"/>
        <w:rPr>
          <w:lang w:val="en-US"/>
        </w:rPr>
      </w:pPr>
      <w:r w:rsidRPr="00045051">
        <w:rPr>
          <w:lang w:val="en-US"/>
        </w:rPr>
        <w:t>Qua đánh giá, khảo sát, hiện tại đang có những quy định về mã định danh điện tử cơ quan, tổ chức cơ bản như sau:</w:t>
      </w:r>
    </w:p>
    <w:p w:rsidR="00045051" w:rsidRPr="00045051" w:rsidRDefault="00045051" w:rsidP="00C61238">
      <w:pPr>
        <w:widowControl w:val="0"/>
        <w:tabs>
          <w:tab w:val="left" w:pos="-3420"/>
        </w:tabs>
        <w:spacing w:before="120" w:after="120" w:line="360" w:lineRule="exact"/>
        <w:ind w:firstLine="567"/>
        <w:jc w:val="both"/>
        <w:rPr>
          <w:lang w:val="en-US"/>
        </w:rPr>
      </w:pPr>
      <w:r w:rsidRPr="00045051">
        <w:rPr>
          <w:lang w:val="en-US"/>
        </w:rPr>
        <w:t>(1) Mã định danh các cơ quan, đơn vị tham gia trao đổi văn bản điện tử thông qua hệ thống quản lý văn bản và điều hành. Theo Quy chuẩn kỹ thuật số 102:2016/BTTTT (được ban hành kèm theo Thông tư số 10/2016/TT-BTTTT ngày 01/4/2016 ban hành “Quy chuẩn kỹ thuật quốc gia về cấu trúc mã định danh và định dạng dữ liệu gói tin phục vụ kết nối các hệ thống quản lý văn bản và điều hành”), mã định danh cơ quan, đơn vị này có quy định cho các nhóm cơ quan Đảng và nhóm các cơ quan nhà nước, tuy nhiên, còn thiếu các nhóm như tổ chức chính trị - xã hội - nghề nghiệp, tổ chức kinh tế đơn vị lực lượng vũ trang nhân dân và các tổ chức khác được thành lập và hoạt động theo quy định của pháp luật.</w:t>
      </w:r>
    </w:p>
    <w:p w:rsidR="00045051" w:rsidRPr="00045051" w:rsidRDefault="00045051" w:rsidP="00C61238">
      <w:pPr>
        <w:widowControl w:val="0"/>
        <w:tabs>
          <w:tab w:val="left" w:pos="-3420"/>
        </w:tabs>
        <w:spacing w:before="120" w:after="120" w:line="360" w:lineRule="exact"/>
        <w:ind w:firstLine="567"/>
        <w:jc w:val="both"/>
        <w:rPr>
          <w:lang w:val="en-US"/>
        </w:rPr>
      </w:pPr>
      <w:r w:rsidRPr="00045051">
        <w:rPr>
          <w:lang w:val="en-US"/>
        </w:rPr>
        <w:t>(2) Mã số doanh nghiệp. Mã số doanh nghiệp được quy định theo Luật doanh nghiệp, Nghị định số 78/2015/NĐ-CP ngày 14/9/2015 về Đăng ký doanh nghiệp và Thông tư số 95/2016/TT-BTC ngày 28/6/2016 của Bộ trưởng Bộ Tài chính hướng dẫn về đăng ký thuế. Mã số này chỉ cấp cho doanh nghiệp, đáp ứng được một phần của tổ chức kinh tế.</w:t>
      </w:r>
    </w:p>
    <w:p w:rsidR="00045051" w:rsidRPr="00045051" w:rsidRDefault="00045051" w:rsidP="00C61238">
      <w:pPr>
        <w:widowControl w:val="0"/>
        <w:tabs>
          <w:tab w:val="left" w:pos="-3420"/>
        </w:tabs>
        <w:spacing w:before="120" w:after="120" w:line="360" w:lineRule="exact"/>
        <w:ind w:firstLine="567"/>
        <w:jc w:val="both"/>
        <w:rPr>
          <w:lang w:val="en-US"/>
        </w:rPr>
      </w:pPr>
      <w:r w:rsidRPr="00045051">
        <w:rPr>
          <w:lang w:val="en-US"/>
        </w:rPr>
        <w:t>(3) Mã số cho các đơn vị có quan hệ với ngân sách nhà nước. Mã số cho các đơn vị có quan hệ với ngân sách nhà nước được quy định theo Thông tư số 185/2015/TT-BTC ngày 17/11/2015 của Bộ trưởng Bộ Tài chính quy định việc cấp mã số cho các đơn vị có quan hệ với ngân sách nhà nước, theo đó, chỉ có các đơn vị có quan hệ với ngân sách bao gồm: đơn vị dự toán các cấp, đơn vị sử dụng ngân sách Nhà nước, các đơn vị khác có quan hệ với ngân sách; dự án đầu tư thuộc cấp ngân sách Trung ương và các cấp ngân sách tỉnh, huyện, xã mới được cấp mã.</w:t>
      </w:r>
    </w:p>
    <w:p w:rsidR="00045051" w:rsidRPr="00045051" w:rsidRDefault="00045051" w:rsidP="00C61238">
      <w:pPr>
        <w:widowControl w:val="0"/>
        <w:tabs>
          <w:tab w:val="left" w:pos="-3420"/>
        </w:tabs>
        <w:spacing w:before="120" w:after="120" w:line="360" w:lineRule="exact"/>
        <w:ind w:firstLine="567"/>
        <w:jc w:val="both"/>
        <w:rPr>
          <w:lang w:val="en-US"/>
        </w:rPr>
      </w:pPr>
      <w:r w:rsidRPr="00045051">
        <w:rPr>
          <w:lang w:val="en-US"/>
        </w:rPr>
        <w:t xml:space="preserve">Ngoài ra, còn rất nhiều các loại mã định danh điện tử cơ quan, tổ chức khác được các bộ, ngành quy định. Vấn đề đặt ra là làm thế nào </w:t>
      </w:r>
      <w:r w:rsidR="00F31D52">
        <w:rPr>
          <w:lang w:val="en-US"/>
        </w:rPr>
        <w:t xml:space="preserve">để </w:t>
      </w:r>
      <w:r w:rsidRPr="00045051">
        <w:rPr>
          <w:lang w:val="en-US"/>
        </w:rPr>
        <w:t>xây dựng được quy định về mã định danh điện tử của cơ quan, tổ chức bao phủ được tất cả các loại hình cơ quan, tổ chức, và đảm bảo khả thi trong việc đánh mã định danh điện tử, quản lý mã định danh điện tử và kế thừa được những quy định hiện tại.</w:t>
      </w:r>
    </w:p>
    <w:p w:rsidR="00EB21FF" w:rsidRPr="00EB21FF" w:rsidRDefault="00045051" w:rsidP="00C61238">
      <w:pPr>
        <w:widowControl w:val="0"/>
        <w:tabs>
          <w:tab w:val="left" w:pos="-3420"/>
        </w:tabs>
        <w:spacing w:before="120" w:after="120" w:line="360" w:lineRule="exact"/>
        <w:ind w:firstLine="567"/>
        <w:jc w:val="both"/>
        <w:rPr>
          <w:lang w:val="en-US"/>
        </w:rPr>
      </w:pPr>
      <w:r w:rsidRPr="00045051">
        <w:rPr>
          <w:lang w:val="en-US"/>
        </w:rPr>
        <w:lastRenderedPageBreak/>
        <w:t>Tuy đã có nhiều loại mã định danh điện tử cơ quan, tổ chức được quy định và sử dụng, nhưng không có quy định nào phù hợp cho tất cả các loại hình cơ quan, tổ chức, do đó không thể áp dụng.</w:t>
      </w:r>
    </w:p>
    <w:p w:rsidR="00773A05" w:rsidRDefault="00773A05" w:rsidP="00C61238">
      <w:pPr>
        <w:widowControl w:val="0"/>
        <w:spacing w:before="120" w:after="120"/>
        <w:ind w:firstLine="567"/>
        <w:jc w:val="both"/>
        <w:rPr>
          <w:b/>
          <w:lang w:val="en-US"/>
        </w:rPr>
      </w:pPr>
      <w:r>
        <w:rPr>
          <w:b/>
          <w:lang w:val="en-US"/>
        </w:rPr>
        <w:t>1.2. Mục tiêu giải quyết vấn đề</w:t>
      </w:r>
    </w:p>
    <w:p w:rsidR="002825D7" w:rsidRDefault="00045051" w:rsidP="00C61238">
      <w:pPr>
        <w:widowControl w:val="0"/>
        <w:tabs>
          <w:tab w:val="left" w:pos="-3420"/>
        </w:tabs>
        <w:spacing w:before="120" w:after="120" w:line="360" w:lineRule="exact"/>
        <w:ind w:firstLine="567"/>
        <w:jc w:val="both"/>
        <w:rPr>
          <w:lang w:val="en-US"/>
        </w:rPr>
      </w:pPr>
      <w:r w:rsidRPr="00045051">
        <w:rPr>
          <w:lang w:val="en-US"/>
        </w:rPr>
        <w:t>Quy định về mã định danh điện tử bao phủ được tất cả các loại hình cơ quan, tổ chức, thống nhất theo tiêu chuẩn quốc tế để phục vụ kết nối, chia sẻ dữ liệu của tất cả các hệ thống thông tin, cơ sở dữ liệu của các bộ, ngành, địa phương, bảo đảm kế thừa, sử dụng lại được các mã định danh điện tử đã có quy định.</w:t>
      </w:r>
    </w:p>
    <w:p w:rsidR="00773A05" w:rsidRDefault="00773A05" w:rsidP="00C61238">
      <w:pPr>
        <w:widowControl w:val="0"/>
        <w:spacing w:before="120" w:after="120"/>
        <w:ind w:firstLine="567"/>
        <w:jc w:val="both"/>
        <w:rPr>
          <w:b/>
          <w:lang w:val="en-US"/>
        </w:rPr>
      </w:pPr>
      <w:r>
        <w:rPr>
          <w:b/>
          <w:lang w:val="en-US"/>
        </w:rPr>
        <w:t>1.3. Các giải pháp đề xuất để giải quyết vấn đề</w:t>
      </w:r>
    </w:p>
    <w:p w:rsidR="005B22D7" w:rsidRPr="005B22D7" w:rsidRDefault="005B22D7" w:rsidP="00C61238">
      <w:pPr>
        <w:widowControl w:val="0"/>
        <w:spacing w:before="120" w:after="120" w:line="360" w:lineRule="exact"/>
        <w:ind w:firstLine="567"/>
        <w:jc w:val="both"/>
        <w:rPr>
          <w:lang w:val="en-US"/>
        </w:rPr>
      </w:pPr>
      <w:r w:rsidRPr="009C75BA">
        <w:rPr>
          <w:b/>
          <w:bCs/>
          <w:i/>
          <w:iCs/>
          <w:lang w:val="en-US"/>
        </w:rPr>
        <w:t>a) Giải pháp 1:</w:t>
      </w:r>
      <w:r w:rsidRPr="005B22D7">
        <w:rPr>
          <w:lang w:val="en-US"/>
        </w:rPr>
        <w:t xml:space="preserve"> Xây dựng quy định về mã định danh điện tử cơ quan, tổ chức hoàn toàn mới.</w:t>
      </w:r>
    </w:p>
    <w:p w:rsidR="005B22D7" w:rsidRPr="005B22D7" w:rsidRDefault="005B22D7" w:rsidP="00C61238">
      <w:pPr>
        <w:widowControl w:val="0"/>
        <w:spacing w:before="120" w:after="120" w:line="360" w:lineRule="exact"/>
        <w:ind w:firstLine="567"/>
        <w:jc w:val="both"/>
        <w:rPr>
          <w:lang w:val="en-US"/>
        </w:rPr>
      </w:pPr>
      <w:r w:rsidRPr="005B22D7">
        <w:rPr>
          <w:lang w:val="en-US"/>
        </w:rPr>
        <w:t>- Tác động của giải pháp: Việc quy định mã định danh điện tử cơ quan, tổ chức hoàn toàn mới sẽ tác động rất lớn đến các hệ thống hiện tại. Toàn bộ các hệ thống phải chỉnh sửa để sử dụng được cấu trúc mã định danh điện tử mới. Việc đánh mã phải tiến hành lại cho tất cả các loại hình cơ quan, tổ chức.</w:t>
      </w:r>
    </w:p>
    <w:p w:rsidR="005B22D7" w:rsidRPr="005B22D7" w:rsidRDefault="005B22D7" w:rsidP="00C61238">
      <w:pPr>
        <w:widowControl w:val="0"/>
        <w:spacing w:before="120" w:after="120" w:line="360" w:lineRule="exact"/>
        <w:ind w:firstLine="567"/>
        <w:jc w:val="both"/>
        <w:rPr>
          <w:lang w:val="en-US"/>
        </w:rPr>
      </w:pPr>
      <w:r w:rsidRPr="005B22D7">
        <w:rPr>
          <w:lang w:val="en-US"/>
        </w:rPr>
        <w:t>- Chi phí thực hiện chính sách: Yêu cầu chi phí lớn do phải chỉnh sửa lại hệ thống.</w:t>
      </w:r>
    </w:p>
    <w:p w:rsidR="005B22D7" w:rsidRPr="005B22D7" w:rsidRDefault="005B22D7" w:rsidP="00C61238">
      <w:pPr>
        <w:widowControl w:val="0"/>
        <w:spacing w:before="120" w:after="120" w:line="360" w:lineRule="exact"/>
        <w:ind w:firstLine="567"/>
        <w:jc w:val="both"/>
        <w:rPr>
          <w:lang w:val="en-US"/>
        </w:rPr>
      </w:pPr>
      <w:r w:rsidRPr="005B22D7">
        <w:rPr>
          <w:lang w:val="en-US"/>
        </w:rPr>
        <w:t>- Lợi ích: Có thể có được bộ mã định danh điện tử thống nhất.</w:t>
      </w:r>
    </w:p>
    <w:p w:rsidR="005B22D7" w:rsidRPr="005B22D7" w:rsidRDefault="005B22D7" w:rsidP="00C61238">
      <w:pPr>
        <w:widowControl w:val="0"/>
        <w:spacing w:before="120" w:after="120" w:line="360" w:lineRule="exact"/>
        <w:ind w:firstLine="567"/>
        <w:jc w:val="both"/>
        <w:rPr>
          <w:lang w:val="en-US"/>
        </w:rPr>
      </w:pPr>
      <w:r w:rsidRPr="005B22D7">
        <w:rPr>
          <w:lang w:val="en-US"/>
        </w:rPr>
        <w:t>- Quy định thủ tục hành chính: Không.</w:t>
      </w:r>
    </w:p>
    <w:p w:rsidR="005B22D7" w:rsidRPr="005B22D7" w:rsidRDefault="005B22D7" w:rsidP="00C61238">
      <w:pPr>
        <w:widowControl w:val="0"/>
        <w:spacing w:before="120" w:after="120" w:line="360" w:lineRule="exact"/>
        <w:ind w:firstLine="567"/>
        <w:jc w:val="both"/>
        <w:rPr>
          <w:lang w:val="en-US"/>
        </w:rPr>
      </w:pPr>
      <w:r w:rsidRPr="005B22D7">
        <w:rPr>
          <w:lang w:val="en-US"/>
        </w:rPr>
        <w:t>- Vấn đề về giới: Không.</w:t>
      </w:r>
    </w:p>
    <w:p w:rsidR="005B22D7" w:rsidRPr="005B22D7" w:rsidRDefault="005B22D7" w:rsidP="00C61238">
      <w:pPr>
        <w:widowControl w:val="0"/>
        <w:spacing w:before="120" w:after="120" w:line="360" w:lineRule="exact"/>
        <w:ind w:firstLine="567"/>
        <w:jc w:val="both"/>
        <w:rPr>
          <w:lang w:val="en-US"/>
        </w:rPr>
      </w:pPr>
      <w:r w:rsidRPr="009C75BA">
        <w:rPr>
          <w:b/>
          <w:bCs/>
          <w:i/>
          <w:iCs/>
          <w:lang w:val="en-US"/>
        </w:rPr>
        <w:t>b) Giải pháp 2:</w:t>
      </w:r>
      <w:r w:rsidRPr="005B22D7">
        <w:rPr>
          <w:lang w:val="en-US"/>
        </w:rPr>
        <w:t xml:space="preserve"> Xây dựng quy định về mã định danh điện tử cơ quan, tổ chức theo tiêu chuẩn quốc tế ISO/IEC 6523 để kế thừa lại được mã định danh điện tử cơ quan, tổ chức đã có quy định.</w:t>
      </w:r>
    </w:p>
    <w:p w:rsidR="005B22D7" w:rsidRPr="005B22D7" w:rsidRDefault="005B22D7" w:rsidP="00C61238">
      <w:pPr>
        <w:widowControl w:val="0"/>
        <w:spacing w:before="120" w:after="120" w:line="360" w:lineRule="exact"/>
        <w:ind w:firstLine="567"/>
        <w:jc w:val="both"/>
        <w:rPr>
          <w:lang w:val="en-US"/>
        </w:rPr>
      </w:pPr>
      <w:r w:rsidRPr="005B22D7">
        <w:rPr>
          <w:lang w:val="en-US"/>
        </w:rPr>
        <w:t>- Tác động của giải pháp: Việc xây dựng mã định danh điện tử cơ quan, tổ chức theo tiêu chuẩn quốc tế ISO/IEC 6523 sẽ kế thừa lại được các quy định về mã định danh điện tử cơ quan, tổ chức đã có quy định, từ đó kế thừa lại được hoàn toàn các mã định danh điện tử đã được cấp cho các cơ quan, tổ chức. Ví dụ: Mã cho cơ quan nhà nước được sử dụng lại mã định danh cơ quan, đơn vị tham gia trao đổi văn bản điện tử; mã số cho doanh nghiệp được sử dụng lại mã số doanh nghiệp đã được quy định theo Luật doanh nghiệp; mã số cho các bộ phận của doanh nghiệp đã được doanh nghiệp quy định trước đó cũng có thể tiếp tục sử dụng cho doanh nghiệp đó...</w:t>
      </w:r>
    </w:p>
    <w:p w:rsidR="005B22D7" w:rsidRPr="005B22D7" w:rsidRDefault="005B22D7" w:rsidP="00C61238">
      <w:pPr>
        <w:widowControl w:val="0"/>
        <w:spacing w:before="120" w:after="120" w:line="360" w:lineRule="exact"/>
        <w:ind w:firstLine="567"/>
        <w:jc w:val="both"/>
        <w:rPr>
          <w:lang w:val="en-US"/>
        </w:rPr>
      </w:pPr>
      <w:r w:rsidRPr="005B22D7">
        <w:rPr>
          <w:lang w:val="en-US"/>
        </w:rPr>
        <w:t>- Chi phí thực hiện chính sách: Do các mã định danh điện tử được kế thừa nên gần như không phát sinh chi phí thực hiện.</w:t>
      </w:r>
    </w:p>
    <w:p w:rsidR="005B22D7" w:rsidRPr="005B22D7" w:rsidRDefault="005B22D7" w:rsidP="00C61238">
      <w:pPr>
        <w:widowControl w:val="0"/>
        <w:spacing w:before="120" w:after="120" w:line="360" w:lineRule="exact"/>
        <w:ind w:firstLine="567"/>
        <w:jc w:val="both"/>
        <w:rPr>
          <w:lang w:val="en-US"/>
        </w:rPr>
      </w:pPr>
      <w:r w:rsidRPr="005B22D7">
        <w:rPr>
          <w:lang w:val="en-US"/>
        </w:rPr>
        <w:t>- Lợi ích: Có được bộ mã định danh điện tử theo một quy định thống nhất.</w:t>
      </w:r>
    </w:p>
    <w:p w:rsidR="00BD068E" w:rsidRDefault="005B22D7" w:rsidP="00C61238">
      <w:pPr>
        <w:widowControl w:val="0"/>
        <w:spacing w:before="120" w:after="120" w:line="360" w:lineRule="exact"/>
        <w:ind w:firstLine="567"/>
        <w:jc w:val="both"/>
        <w:rPr>
          <w:lang w:val="en-US"/>
        </w:rPr>
      </w:pPr>
      <w:r w:rsidRPr="005B22D7">
        <w:rPr>
          <w:lang w:val="en-US"/>
        </w:rPr>
        <w:lastRenderedPageBreak/>
        <w:t>- Quy định thủ tục hành chính: Không.</w:t>
      </w:r>
    </w:p>
    <w:p w:rsidR="003B2D21" w:rsidRDefault="003B2D21" w:rsidP="00C61238">
      <w:pPr>
        <w:widowControl w:val="0"/>
        <w:spacing w:before="120" w:after="120" w:line="340" w:lineRule="exact"/>
        <w:ind w:firstLine="567"/>
        <w:jc w:val="both"/>
        <w:rPr>
          <w:b/>
        </w:rPr>
      </w:pPr>
      <w:r>
        <w:rPr>
          <w:lang w:val="sv-SE"/>
        </w:rPr>
        <w:t xml:space="preserve"> </w:t>
      </w:r>
      <w:r w:rsidR="005B22D7" w:rsidRPr="00C43A15">
        <w:rPr>
          <w:b/>
        </w:rPr>
        <w:t>1.4. Kiến nghị lựa chọn giải pháp</w:t>
      </w:r>
    </w:p>
    <w:p w:rsidR="005B22D7" w:rsidRDefault="005B22D7" w:rsidP="00C61238">
      <w:pPr>
        <w:widowControl w:val="0"/>
        <w:spacing w:before="120" w:after="120" w:line="340" w:lineRule="exact"/>
        <w:ind w:firstLine="567"/>
        <w:jc w:val="both"/>
        <w:rPr>
          <w:lang w:val="sv-SE"/>
        </w:rPr>
      </w:pPr>
      <w:r w:rsidRPr="005B22D7">
        <w:rPr>
          <w:lang w:val="sv-SE"/>
        </w:rPr>
        <w:t>Trong các phương án trên, Phương án 2 là phù hợp với các yêu cầu về xây dựng mã định danh điện tử của các cơ quan, tổ chức thống nhất theo tiêu chuẩn quốc tế phục vụ kết nối, chia sẻ dữ liệu của tất cả các hệ thống thông tin, cơ sở dữ liệu của các bộ, ngành, địa phương.</w:t>
      </w:r>
    </w:p>
    <w:p w:rsidR="00EB21FF" w:rsidRPr="001346AB" w:rsidRDefault="00EB21FF" w:rsidP="00C61238">
      <w:pPr>
        <w:widowControl w:val="0"/>
        <w:spacing w:before="120" w:after="120"/>
        <w:ind w:firstLine="567"/>
        <w:jc w:val="both"/>
        <w:rPr>
          <w:bCs/>
          <w:lang w:val="en-US"/>
        </w:rPr>
      </w:pPr>
      <w:r>
        <w:rPr>
          <w:b/>
          <w:lang w:val="en-US"/>
        </w:rPr>
        <w:t>2</w:t>
      </w:r>
      <w:r w:rsidRPr="00A429DE">
        <w:rPr>
          <w:b/>
          <w:lang w:val="en-US"/>
        </w:rPr>
        <w:t xml:space="preserve">. </w:t>
      </w:r>
      <w:r w:rsidR="005B22D7">
        <w:rPr>
          <w:b/>
          <w:lang w:val="en-US"/>
        </w:rPr>
        <w:t>Chính sách</w:t>
      </w:r>
      <w:r w:rsidRPr="00A429DE">
        <w:rPr>
          <w:b/>
          <w:lang w:val="en-US"/>
        </w:rPr>
        <w:t xml:space="preserve"> </w:t>
      </w:r>
      <w:r>
        <w:rPr>
          <w:b/>
          <w:lang w:val="en-US"/>
        </w:rPr>
        <w:t>2</w:t>
      </w:r>
      <w:r w:rsidRPr="00A429DE">
        <w:rPr>
          <w:b/>
          <w:lang w:val="en-US"/>
        </w:rPr>
        <w:t>:</w:t>
      </w:r>
      <w:r w:rsidR="00045AF0">
        <w:rPr>
          <w:b/>
          <w:lang w:val="en-US"/>
        </w:rPr>
        <w:t xml:space="preserve"> </w:t>
      </w:r>
      <w:r w:rsidR="001346AB" w:rsidRPr="001346AB">
        <w:rPr>
          <w:bCs/>
          <w:lang w:val="en-US"/>
        </w:rPr>
        <w:t>Lựa chọn mã định danh điện tử</w:t>
      </w:r>
      <w:r w:rsidR="001346AB">
        <w:rPr>
          <w:bCs/>
          <w:lang w:val="en-US"/>
        </w:rPr>
        <w:t xml:space="preserve"> của cơ quan, tổ </w:t>
      </w:r>
      <w:r w:rsidR="00045AF0">
        <w:rPr>
          <w:bCs/>
          <w:lang w:val="en-US"/>
        </w:rPr>
        <w:t>chức</w:t>
      </w:r>
      <w:r w:rsidR="001346AB" w:rsidRPr="001346AB">
        <w:rPr>
          <w:bCs/>
          <w:lang w:val="en-US"/>
        </w:rPr>
        <w:t xml:space="preserve"> có quy định phù hợp</w:t>
      </w:r>
    </w:p>
    <w:p w:rsidR="00EB21FF" w:rsidRDefault="00EB21FF" w:rsidP="00C61238">
      <w:pPr>
        <w:widowControl w:val="0"/>
        <w:spacing w:before="120" w:after="120"/>
        <w:ind w:firstLine="567"/>
        <w:jc w:val="both"/>
        <w:rPr>
          <w:b/>
          <w:lang w:val="en-US"/>
        </w:rPr>
      </w:pPr>
      <w:r>
        <w:rPr>
          <w:b/>
          <w:lang w:val="en-US"/>
        </w:rPr>
        <w:t>2.1. Xác định vấn đề</w:t>
      </w:r>
      <w:r w:rsidR="005B22D7">
        <w:rPr>
          <w:b/>
          <w:lang w:val="en-US"/>
        </w:rPr>
        <w:t xml:space="preserve"> bất cập</w:t>
      </w:r>
    </w:p>
    <w:p w:rsidR="00AE1634" w:rsidRPr="00AE1634" w:rsidRDefault="00FB53F4" w:rsidP="00C61238">
      <w:pPr>
        <w:widowControl w:val="0"/>
        <w:spacing w:before="120" w:after="120" w:line="360" w:lineRule="exact"/>
        <w:ind w:firstLine="567"/>
        <w:jc w:val="both"/>
        <w:rPr>
          <w:szCs w:val="26"/>
          <w:lang w:val="en-US"/>
        </w:rPr>
      </w:pPr>
      <w:r w:rsidRPr="00FB53F4">
        <w:rPr>
          <w:lang w:val="en-US"/>
        </w:rPr>
        <w:t>Mặc dù theo nghiên cứu, tiêu chuẩn quốc tế ISO/IEC 6523 cho phép tự đăng ký việc sử dụng mã định danh điện tử theo các lược đồ định danh cơ quan, tổ chức, tuy nhiên, với mục tiêu là định danh điện tử phục vụ kết nối các hệ thống của các bộ, ngành, địa phương, nên mã định danh điện tử của cơ quan, tổ chức cũng cần phải được kế thừa các bộ mã khoa học, có phạm vi bao phủ lớn, phù hợp với quản lý, phân cấp hành chính</w:t>
      </w:r>
      <w:r>
        <w:rPr>
          <w:lang w:val="en-US"/>
        </w:rPr>
        <w:t xml:space="preserve"> </w:t>
      </w:r>
      <w:r w:rsidR="001346AB">
        <w:rPr>
          <w:lang w:val="en-US"/>
        </w:rPr>
        <w:t>để giảm thiểu những thay đổi cho các hệ thống đang hoạt động</w:t>
      </w:r>
      <w:r w:rsidRPr="00FB53F4">
        <w:rPr>
          <w:lang w:val="en-US"/>
        </w:rPr>
        <w:t>.</w:t>
      </w:r>
    </w:p>
    <w:p w:rsidR="00EB21FF" w:rsidRDefault="00EB21FF" w:rsidP="00C61238">
      <w:pPr>
        <w:widowControl w:val="0"/>
        <w:spacing w:before="120" w:after="120"/>
        <w:ind w:firstLine="567"/>
        <w:jc w:val="both"/>
        <w:rPr>
          <w:b/>
          <w:lang w:val="en-US"/>
        </w:rPr>
      </w:pPr>
      <w:r>
        <w:rPr>
          <w:b/>
          <w:lang w:val="en-US"/>
        </w:rPr>
        <w:t>2.2. Mục tiêu giải quyết vấn đề</w:t>
      </w:r>
    </w:p>
    <w:p w:rsidR="00EB21FF" w:rsidRPr="00EB21FF" w:rsidRDefault="00690EE8" w:rsidP="00C61238">
      <w:pPr>
        <w:widowControl w:val="0"/>
        <w:spacing w:before="120" w:after="120" w:line="360" w:lineRule="exact"/>
        <w:ind w:firstLine="567"/>
        <w:jc w:val="both"/>
        <w:rPr>
          <w:lang w:val="en-US"/>
        </w:rPr>
      </w:pPr>
      <w:r>
        <w:rPr>
          <w:lang w:val="en-US"/>
        </w:rPr>
        <w:tab/>
      </w:r>
      <w:r w:rsidR="001346AB" w:rsidRPr="001346AB">
        <w:rPr>
          <w:lang w:val="en-US"/>
        </w:rPr>
        <w:t>Lựa chọn trước một số mã định danh điện tử đã được quy địn</w:t>
      </w:r>
      <w:r w:rsidR="001346AB">
        <w:rPr>
          <w:lang w:val="en-US"/>
        </w:rPr>
        <w:t>h phù hợp</w:t>
      </w:r>
      <w:r w:rsidR="001346AB" w:rsidRPr="001346AB">
        <w:rPr>
          <w:lang w:val="en-US"/>
        </w:rPr>
        <w:t xml:space="preserve"> để kế thừa, đưa vào thành phần mã định danh điện tử của cơ quan, tổ chức. Cụ thể: Quy định mã định danh điện tử của cơ quan nhà nước và doanh nghiệp.</w:t>
      </w:r>
    </w:p>
    <w:p w:rsidR="00EB21FF" w:rsidRDefault="00EB21FF" w:rsidP="00C61238">
      <w:pPr>
        <w:widowControl w:val="0"/>
        <w:spacing w:before="120" w:after="120"/>
        <w:ind w:firstLine="567"/>
        <w:jc w:val="both"/>
        <w:rPr>
          <w:b/>
          <w:lang w:val="en-US"/>
        </w:rPr>
      </w:pPr>
      <w:r>
        <w:rPr>
          <w:b/>
          <w:lang w:val="en-US"/>
        </w:rPr>
        <w:t>2.3. Các giải pháp đề xuất để giải quyết vấn đề</w:t>
      </w:r>
    </w:p>
    <w:p w:rsidR="001346AB" w:rsidRPr="001346AB" w:rsidRDefault="001346AB" w:rsidP="00C61238">
      <w:pPr>
        <w:widowControl w:val="0"/>
        <w:spacing w:before="120" w:after="120" w:line="360" w:lineRule="exact"/>
        <w:ind w:firstLine="567"/>
        <w:jc w:val="both"/>
        <w:rPr>
          <w:lang w:val="en-US"/>
        </w:rPr>
      </w:pPr>
      <w:r w:rsidRPr="009C75BA">
        <w:rPr>
          <w:b/>
          <w:bCs/>
          <w:i/>
          <w:iCs/>
          <w:lang w:val="en-US"/>
        </w:rPr>
        <w:t>a) Giải pháp 1:</w:t>
      </w:r>
      <w:r w:rsidR="009C75BA">
        <w:rPr>
          <w:b/>
          <w:bCs/>
          <w:i/>
          <w:iCs/>
          <w:lang w:val="en-US"/>
        </w:rPr>
        <w:t xml:space="preserve"> </w:t>
      </w:r>
      <w:r w:rsidRPr="001346AB">
        <w:rPr>
          <w:lang w:val="en-US"/>
        </w:rPr>
        <w:t>Lựa chọn mã định danh cơ quan, đơn vị tham gia trao đổi văn bản điện tử là mã định danh cho các cơ quan nhà nước.</w:t>
      </w:r>
    </w:p>
    <w:p w:rsidR="001346AB" w:rsidRPr="001346AB" w:rsidRDefault="001346AB" w:rsidP="00C61238">
      <w:pPr>
        <w:widowControl w:val="0"/>
        <w:spacing w:before="120" w:after="120" w:line="360" w:lineRule="exact"/>
        <w:ind w:firstLine="567"/>
        <w:jc w:val="both"/>
        <w:rPr>
          <w:lang w:val="en-US"/>
        </w:rPr>
      </w:pPr>
      <w:r w:rsidRPr="001346AB">
        <w:rPr>
          <w:lang w:val="en-US"/>
        </w:rPr>
        <w:t>- Tác động của giải pháp: Các nhóm cơ quan nhà nước sau sẽ không bị ảnh hưởng: Nhóm các cơ quan Đảng, Nhóm các cơ quan Chủ tịch nước, Nhóm các cơ quan Quốc hội, Nhóm các cơ quan Tòa án, Nhóm các cơ quan Viện Kiểm sát, Nhóm các cơ quan Kiểm toán, Các bộ, cơ quan ngang bộ, cơ quan thuộc Chính phủ và các trường đại học do Thủ tướng Chính phủ quyết định thành lập, Hội đồng nhân dân các tỉnh, thành phố trực thuộc Trung ương, Ủy ban nhân dân các tỉnh, thành phố trực thuộc Trung ương, Tổ chức chính trị - xã hội cấp Trung ương và Tổ chức xã hội, tổ chức xã hội - nghề nghiệp cấp Trung ương.</w:t>
      </w:r>
    </w:p>
    <w:p w:rsidR="001346AB" w:rsidRPr="001346AB" w:rsidRDefault="001346AB" w:rsidP="00C61238">
      <w:pPr>
        <w:widowControl w:val="0"/>
        <w:spacing w:before="120" w:after="120" w:line="360" w:lineRule="exact"/>
        <w:ind w:firstLine="567"/>
        <w:jc w:val="both"/>
        <w:rPr>
          <w:lang w:val="en-US"/>
        </w:rPr>
      </w:pPr>
      <w:r w:rsidRPr="001346AB">
        <w:rPr>
          <w:lang w:val="en-US"/>
        </w:rPr>
        <w:t>- Chi phí thực hiện chính sách: Không.</w:t>
      </w:r>
    </w:p>
    <w:p w:rsidR="001346AB" w:rsidRPr="001346AB" w:rsidRDefault="001346AB" w:rsidP="00C61238">
      <w:pPr>
        <w:widowControl w:val="0"/>
        <w:spacing w:before="120" w:after="120" w:line="360" w:lineRule="exact"/>
        <w:ind w:firstLine="567"/>
        <w:jc w:val="both"/>
        <w:rPr>
          <w:lang w:val="en-US"/>
        </w:rPr>
      </w:pPr>
      <w:r w:rsidRPr="001346AB">
        <w:rPr>
          <w:lang w:val="en-US"/>
        </w:rPr>
        <w:t xml:space="preserve">- Lợi ích: </w:t>
      </w:r>
      <w:r w:rsidR="00BF60FB">
        <w:rPr>
          <w:lang w:val="en-US"/>
        </w:rPr>
        <w:t xml:space="preserve">Mã định danh các cơ quan, đơn vị do các đơn vị cấp 1 cấp mã, do đó sẽ đảm bảo cung cấp đầy đủ, kịp thời mã định danh khi có nhu cầu sử dụng (liên thông, định danh…) hay khi có sự thay đổi về cơ cấu tổ chức (sát nhập, chia tách cơ quan, đơn vị). </w:t>
      </w:r>
      <w:r w:rsidRPr="001346AB">
        <w:rPr>
          <w:lang w:val="en-US"/>
        </w:rPr>
        <w:t xml:space="preserve">Đã có sẵn mã định danh điện tử của khoảng 74.000 cơ quan theo phân cấp (4 cấp) do các cơ quan cấp 1 cấp theo quy định. Các hệ </w:t>
      </w:r>
      <w:r w:rsidRPr="001346AB">
        <w:rPr>
          <w:lang w:val="en-US"/>
        </w:rPr>
        <w:lastRenderedPageBreak/>
        <w:t>thống sử dụng mã định danh cơ quan, đơn vị sẽ không cần chỉnh sửa hệ thống (Hiện tại có: Hệ thống quản lý văn bản và điều hành; Hệ thống thông tin một cửa điện tử).</w:t>
      </w:r>
    </w:p>
    <w:p w:rsidR="001346AB" w:rsidRPr="001346AB" w:rsidRDefault="001346AB" w:rsidP="00C61238">
      <w:pPr>
        <w:widowControl w:val="0"/>
        <w:spacing w:before="120" w:after="120" w:line="360" w:lineRule="exact"/>
        <w:ind w:firstLine="567"/>
        <w:jc w:val="both"/>
        <w:rPr>
          <w:lang w:val="en-US"/>
        </w:rPr>
      </w:pPr>
      <w:r w:rsidRPr="001346AB">
        <w:rPr>
          <w:lang w:val="en-US"/>
        </w:rPr>
        <w:t>- Quy định thủ tục hành chính: Không.</w:t>
      </w:r>
    </w:p>
    <w:p w:rsidR="001346AB" w:rsidRPr="001346AB" w:rsidRDefault="001346AB" w:rsidP="00C61238">
      <w:pPr>
        <w:widowControl w:val="0"/>
        <w:spacing w:before="120" w:after="120" w:line="360" w:lineRule="exact"/>
        <w:ind w:firstLine="567"/>
        <w:jc w:val="both"/>
        <w:rPr>
          <w:lang w:val="en-US"/>
        </w:rPr>
      </w:pPr>
      <w:r w:rsidRPr="009C75BA">
        <w:rPr>
          <w:b/>
          <w:bCs/>
          <w:i/>
          <w:iCs/>
          <w:lang w:val="en-US"/>
        </w:rPr>
        <w:t>b) Giải pháp 2:</w:t>
      </w:r>
      <w:r w:rsidR="009C75BA">
        <w:rPr>
          <w:b/>
          <w:bCs/>
          <w:i/>
          <w:iCs/>
          <w:lang w:val="en-US"/>
        </w:rPr>
        <w:t xml:space="preserve"> </w:t>
      </w:r>
      <w:r w:rsidRPr="001346AB">
        <w:rPr>
          <w:lang w:val="en-US"/>
        </w:rPr>
        <w:t>Lựa chọn mã số cho các đơn vị có quan hệ với ngân sách nhà nước là mã định danh cho các cơ quan nhà nước.</w:t>
      </w:r>
    </w:p>
    <w:p w:rsidR="001346AB" w:rsidRPr="001346AB" w:rsidRDefault="001346AB" w:rsidP="00C61238">
      <w:pPr>
        <w:widowControl w:val="0"/>
        <w:spacing w:before="120" w:after="120" w:line="360" w:lineRule="exact"/>
        <w:ind w:firstLine="567"/>
        <w:jc w:val="both"/>
        <w:rPr>
          <w:lang w:val="en-US"/>
        </w:rPr>
      </w:pPr>
      <w:r w:rsidRPr="001346AB">
        <w:rPr>
          <w:lang w:val="en-US"/>
        </w:rPr>
        <w:t>- Tác động của giải pháp: Chỉ có các đơn vị có quan hệ với ngân sách bao gồm: đơn vị dự toán các cấp, đơn vị sử dụng ngân sách Nhà nước, các đơn vị khác có quan hệ với ngân sách; dự án đầu tư thuộc cấp ngân sách Trung ương và các cấp ngân sách tỉnh, huyện, xã mới được cấp mã, do đó, khó phân nhóm, phân loại cơ quan, tổ chức. Mã số này do Bộ Tài chính cấp, và chỉ cấp khi một đơn vị có phát sinh quan hệ với ngân sách nhà nước, do đó, không sẵn sàng cho việc kết nối, chia sẻ dữ liệu</w:t>
      </w:r>
      <w:r>
        <w:rPr>
          <w:lang w:val="en-US"/>
        </w:rPr>
        <w:t xml:space="preserve"> (vì phải chờ được cấp mã số, đơn vị không có quan hệ với ngân sách thì không được cấp)</w:t>
      </w:r>
      <w:r w:rsidRPr="001346AB">
        <w:rPr>
          <w:lang w:val="en-US"/>
        </w:rPr>
        <w:t>.</w:t>
      </w:r>
    </w:p>
    <w:p w:rsidR="001346AB" w:rsidRPr="001346AB" w:rsidRDefault="001346AB" w:rsidP="00C61238">
      <w:pPr>
        <w:widowControl w:val="0"/>
        <w:spacing w:before="120" w:after="120" w:line="360" w:lineRule="exact"/>
        <w:ind w:firstLine="567"/>
        <w:jc w:val="both"/>
        <w:rPr>
          <w:lang w:val="en-US"/>
        </w:rPr>
      </w:pPr>
      <w:r w:rsidRPr="001346AB">
        <w:rPr>
          <w:lang w:val="en-US"/>
        </w:rPr>
        <w:t>- Chi phí thực hiện chính sách: Các hệ thống như Quản lý văn bản và điều hành, Hệ thống thông tin một cửa điện tử sẽ phải chỉnh sửa để phù hợp với cấu trúc mới.</w:t>
      </w:r>
    </w:p>
    <w:p w:rsidR="001346AB" w:rsidRPr="001346AB" w:rsidRDefault="001346AB" w:rsidP="00C61238">
      <w:pPr>
        <w:widowControl w:val="0"/>
        <w:spacing w:before="120" w:after="120" w:line="360" w:lineRule="exact"/>
        <w:ind w:firstLine="567"/>
        <w:jc w:val="both"/>
        <w:rPr>
          <w:lang w:val="en-US"/>
        </w:rPr>
      </w:pPr>
      <w:r w:rsidRPr="001346AB">
        <w:rPr>
          <w:lang w:val="en-US"/>
        </w:rPr>
        <w:t>- Lợi ích: Kế thừa được những mã do Bộ Tài chính cấp.</w:t>
      </w:r>
    </w:p>
    <w:p w:rsidR="001346AB" w:rsidRPr="001346AB" w:rsidRDefault="001346AB" w:rsidP="00C61238">
      <w:pPr>
        <w:widowControl w:val="0"/>
        <w:spacing w:before="120" w:after="120" w:line="360" w:lineRule="exact"/>
        <w:ind w:firstLine="567"/>
        <w:jc w:val="both"/>
        <w:rPr>
          <w:lang w:val="en-US"/>
        </w:rPr>
      </w:pPr>
      <w:r w:rsidRPr="001346AB">
        <w:rPr>
          <w:lang w:val="en-US"/>
        </w:rPr>
        <w:t>- Quy định thủ tục hành chính: Không.</w:t>
      </w:r>
    </w:p>
    <w:p w:rsidR="001346AB" w:rsidRPr="001346AB" w:rsidRDefault="001346AB" w:rsidP="00C61238">
      <w:pPr>
        <w:widowControl w:val="0"/>
        <w:spacing w:before="120" w:after="120" w:line="360" w:lineRule="exact"/>
        <w:ind w:firstLine="567"/>
        <w:jc w:val="both"/>
        <w:rPr>
          <w:lang w:val="en-US"/>
        </w:rPr>
      </w:pPr>
      <w:r w:rsidRPr="009C75BA">
        <w:rPr>
          <w:b/>
          <w:bCs/>
          <w:i/>
          <w:iCs/>
          <w:lang w:val="en-US"/>
        </w:rPr>
        <w:t>c) Giải pháp 3:</w:t>
      </w:r>
      <w:r w:rsidR="009C75BA">
        <w:rPr>
          <w:b/>
          <w:bCs/>
          <w:i/>
          <w:iCs/>
          <w:lang w:val="en-US"/>
        </w:rPr>
        <w:t xml:space="preserve"> </w:t>
      </w:r>
      <w:r w:rsidRPr="001346AB">
        <w:rPr>
          <w:lang w:val="en-US"/>
        </w:rPr>
        <w:t>Lựa chọn mã số doanh nghiệp là mã định danh cho tổ chức là doanh nghiệp.</w:t>
      </w:r>
    </w:p>
    <w:p w:rsidR="001346AB" w:rsidRPr="001346AB" w:rsidRDefault="001346AB" w:rsidP="00C61238">
      <w:pPr>
        <w:widowControl w:val="0"/>
        <w:spacing w:before="120" w:after="120" w:line="360" w:lineRule="exact"/>
        <w:ind w:firstLine="567"/>
        <w:jc w:val="both"/>
        <w:rPr>
          <w:lang w:val="en-US"/>
        </w:rPr>
      </w:pPr>
      <w:r w:rsidRPr="001346AB">
        <w:rPr>
          <w:lang w:val="en-US"/>
        </w:rPr>
        <w:t>- Tác động của giải pháp: Theo Luật Doanh nghiệp, Nghị định số 78/2015/NĐ-CP ngày 14/9/2015 về Đăng ký doanh nghiệp và Thông tư số 95/2016/TT-BTC ngày 28/6/2016, mỗi doanh nghiệp đều được cấp 1 mã số doanh nghiệp, mã số này là duy nhất và không trùng với doanh nghiệp khác, được Bộ Tài chính và Bộ Kế hoạch và đầu tư thống nhất quản lý.</w:t>
      </w:r>
    </w:p>
    <w:p w:rsidR="001346AB" w:rsidRPr="001346AB" w:rsidRDefault="001346AB" w:rsidP="00C61238">
      <w:pPr>
        <w:widowControl w:val="0"/>
        <w:spacing w:before="120" w:after="120" w:line="360" w:lineRule="exact"/>
        <w:ind w:firstLine="567"/>
        <w:jc w:val="both"/>
        <w:rPr>
          <w:lang w:val="en-US"/>
        </w:rPr>
      </w:pPr>
      <w:r w:rsidRPr="001346AB">
        <w:rPr>
          <w:lang w:val="en-US"/>
        </w:rPr>
        <w:t>- Chi phí thực hiện chính sách: Không.</w:t>
      </w:r>
    </w:p>
    <w:p w:rsidR="001346AB" w:rsidRPr="001346AB" w:rsidRDefault="001346AB" w:rsidP="00C61238">
      <w:pPr>
        <w:widowControl w:val="0"/>
        <w:spacing w:before="120" w:after="120" w:line="360" w:lineRule="exact"/>
        <w:ind w:firstLine="567"/>
        <w:jc w:val="both"/>
        <w:rPr>
          <w:lang w:val="en-US"/>
        </w:rPr>
      </w:pPr>
      <w:r w:rsidRPr="001346AB">
        <w:rPr>
          <w:lang w:val="en-US"/>
        </w:rPr>
        <w:t>- Lợi ích: Kế thừa được toàn bộ mã số doanh nghiệp đã cấp.</w:t>
      </w:r>
    </w:p>
    <w:p w:rsidR="00AE1634" w:rsidRDefault="001346AB" w:rsidP="00C61238">
      <w:pPr>
        <w:widowControl w:val="0"/>
        <w:spacing w:before="120" w:after="120" w:line="360" w:lineRule="exact"/>
        <w:ind w:firstLine="567"/>
        <w:jc w:val="both"/>
        <w:rPr>
          <w:lang w:val="en-US"/>
        </w:rPr>
      </w:pPr>
      <w:r w:rsidRPr="001346AB">
        <w:rPr>
          <w:lang w:val="en-US"/>
        </w:rPr>
        <w:t>- Quy định thủ tục hành chính: Không.</w:t>
      </w:r>
    </w:p>
    <w:p w:rsidR="00EB21FF" w:rsidRDefault="00EB21FF" w:rsidP="00C61238">
      <w:pPr>
        <w:widowControl w:val="0"/>
        <w:spacing w:before="120" w:after="120"/>
        <w:ind w:firstLine="567"/>
        <w:jc w:val="both"/>
        <w:rPr>
          <w:b/>
          <w:lang w:val="en-US"/>
        </w:rPr>
      </w:pPr>
      <w:r>
        <w:rPr>
          <w:b/>
          <w:lang w:val="en-US"/>
        </w:rPr>
        <w:t xml:space="preserve">2.4. </w:t>
      </w:r>
      <w:r w:rsidR="001346AB" w:rsidRPr="00C43A15">
        <w:rPr>
          <w:b/>
        </w:rPr>
        <w:t>Kiến nghị lựa chọn giải pháp</w:t>
      </w:r>
    </w:p>
    <w:p w:rsidR="00EB21FF" w:rsidRDefault="001346AB" w:rsidP="00C61238">
      <w:pPr>
        <w:widowControl w:val="0"/>
        <w:spacing w:before="120" w:after="120" w:line="360" w:lineRule="exact"/>
        <w:ind w:firstLine="567"/>
        <w:jc w:val="both"/>
      </w:pPr>
      <w:r>
        <w:t xml:space="preserve">Áp dụng theo tiêu chuẩn quốc tế </w:t>
      </w:r>
      <w:r w:rsidRPr="001E11B4">
        <w:t>ISO/IEC 6523</w:t>
      </w:r>
      <w:r>
        <w:t xml:space="preserve">, sử dụng </w:t>
      </w:r>
      <w:r w:rsidR="00F10B55">
        <w:rPr>
          <w:lang w:val="en-US"/>
        </w:rPr>
        <w:t>giải pháp</w:t>
      </w:r>
      <w:r>
        <w:t xml:space="preserve"> 1 đối với mã định danh điện tử của cơ quan nhà nước và </w:t>
      </w:r>
      <w:r w:rsidR="00F10B55">
        <w:rPr>
          <w:lang w:val="en-US"/>
        </w:rPr>
        <w:t>giải pháp</w:t>
      </w:r>
      <w:r>
        <w:t xml:space="preserve"> 3 đối với mã định danh điện tử của tổ chức là doanh nghiệp là phù hợp. Đây cũng là các đối tượng chính cần kết nối và chia sẻ dữ liệu. Với các đối tượng khác, có thể thực hiện theo các quy định để đăng ký mã định danh điện tử cơ quan, tổ chức của mình.</w:t>
      </w:r>
    </w:p>
    <w:p w:rsidR="005D0279" w:rsidRDefault="005D0279" w:rsidP="00C61238">
      <w:pPr>
        <w:widowControl w:val="0"/>
        <w:spacing w:before="120" w:after="120"/>
        <w:ind w:firstLine="567"/>
        <w:jc w:val="both"/>
        <w:rPr>
          <w:b/>
          <w:lang w:val="en-US"/>
        </w:rPr>
      </w:pPr>
      <w:r w:rsidRPr="005D0279">
        <w:rPr>
          <w:b/>
          <w:lang w:val="en-US"/>
        </w:rPr>
        <w:lastRenderedPageBreak/>
        <w:t xml:space="preserve">III. </w:t>
      </w:r>
      <w:r w:rsidR="00F555EC" w:rsidRPr="00F555EC">
        <w:rPr>
          <w:b/>
          <w:lang w:val="en-US"/>
        </w:rPr>
        <w:t>LẤY Ý KIẾN</w:t>
      </w:r>
    </w:p>
    <w:p w:rsidR="00F555EC" w:rsidRPr="00F555EC" w:rsidRDefault="00F555EC" w:rsidP="00C61238">
      <w:pPr>
        <w:widowControl w:val="0"/>
        <w:spacing w:before="120" w:after="120"/>
        <w:ind w:firstLine="567"/>
        <w:jc w:val="both"/>
      </w:pPr>
      <w:r w:rsidRPr="00F555EC">
        <w:t xml:space="preserve">Bộ Thông tin và Truyền thông đã gửi lấy ý kiến hồ sơ xây dựng </w:t>
      </w:r>
      <w:r>
        <w:rPr>
          <w:lang w:val="en-US"/>
        </w:rPr>
        <w:t>Quyết định của Thủ tướng Chính phủ ban hành Quy định về mã định danh cơ quan tổ chức</w:t>
      </w:r>
      <w:r w:rsidRPr="00F555EC">
        <w:t xml:space="preserve"> (bao gồm Báo cáo đánh giá tác động của chính sách) tới tất cả các Bộ, ngành, địa phương; gửi đăng hồ sơ trên Cổng thông tin điện tử của Chính phủ </w:t>
      </w:r>
      <w:r w:rsidRPr="008631D8">
        <w:t xml:space="preserve">và Cổng thông tin điện tử của Bộ Thông tin và Truyền thông từ ngày </w:t>
      </w:r>
      <w:r w:rsidR="008631D8" w:rsidRPr="008631D8">
        <w:rPr>
          <w:lang w:val="en-US"/>
        </w:rPr>
        <w:t>11</w:t>
      </w:r>
      <w:r w:rsidRPr="008631D8">
        <w:rPr>
          <w:lang w:val="en-US"/>
        </w:rPr>
        <w:t>/9/2019</w:t>
      </w:r>
      <w:r w:rsidRPr="008631D8">
        <w:t>.</w:t>
      </w:r>
    </w:p>
    <w:p w:rsidR="00F555EC" w:rsidRPr="00F555EC" w:rsidRDefault="00F555EC" w:rsidP="00C61238">
      <w:pPr>
        <w:widowControl w:val="0"/>
        <w:spacing w:before="120" w:after="120"/>
        <w:ind w:firstLine="567"/>
        <w:jc w:val="both"/>
      </w:pPr>
      <w:r w:rsidRPr="00F555EC">
        <w:t xml:space="preserve">Giải trình tiếp thu ý kiến tham gia được nêu cụ thể trong bảng tổng hợp ý kiến gửi kèm theo hồ sơ </w:t>
      </w:r>
      <w:r>
        <w:rPr>
          <w:lang w:val="en-US"/>
        </w:rPr>
        <w:t>trình ban hành Quyết định</w:t>
      </w:r>
      <w:r w:rsidR="007726D9">
        <w:rPr>
          <w:lang w:val="en-US"/>
        </w:rPr>
        <w:t xml:space="preserve"> của Thủ tướng Chính phủ ban hành Quy định về mã định danh cơ quan tổ chức</w:t>
      </w:r>
      <w:r w:rsidRPr="00F555EC">
        <w:t>.</w:t>
      </w:r>
    </w:p>
    <w:p w:rsidR="007726D9" w:rsidRPr="00D27C05" w:rsidRDefault="007726D9" w:rsidP="00C61238">
      <w:pPr>
        <w:pStyle w:val="Heading2"/>
        <w:widowControl w:val="0"/>
        <w:spacing w:before="120" w:after="120" w:line="340" w:lineRule="exact"/>
        <w:ind w:firstLine="567"/>
        <w:rPr>
          <w:b/>
          <w:szCs w:val="28"/>
        </w:rPr>
      </w:pPr>
      <w:r>
        <w:rPr>
          <w:b/>
          <w:szCs w:val="28"/>
        </w:rPr>
        <w:t>IV. GIÁM SÁT VÀ ĐÁNH GIÁ</w:t>
      </w:r>
    </w:p>
    <w:p w:rsidR="007726D9" w:rsidRPr="006A27FC" w:rsidRDefault="007726D9" w:rsidP="00C61238">
      <w:pPr>
        <w:widowControl w:val="0"/>
        <w:spacing w:before="120" w:after="120" w:line="340" w:lineRule="exact"/>
        <w:ind w:firstLine="567"/>
        <w:jc w:val="both"/>
        <w:rPr>
          <w:b/>
        </w:rPr>
      </w:pPr>
      <w:r w:rsidRPr="006A27FC">
        <w:rPr>
          <w:b/>
        </w:rPr>
        <w:t>1. Cơ quan chịu trách nhiệm tổ chức thi hành chính sách</w:t>
      </w:r>
    </w:p>
    <w:p w:rsidR="007726D9" w:rsidRPr="006A27FC" w:rsidRDefault="007726D9" w:rsidP="00C61238">
      <w:pPr>
        <w:widowControl w:val="0"/>
        <w:spacing w:before="120" w:after="120" w:line="340" w:lineRule="exact"/>
        <w:ind w:firstLine="567"/>
        <w:jc w:val="both"/>
      </w:pPr>
      <w:r>
        <w:t xml:space="preserve">Cơ quan chịu trách nhiệm tổ chức thi hành chính sách bao gồm tất cả các đối tượng được đề xuất là đối tượng áp dụng của </w:t>
      </w:r>
      <w:r>
        <w:rPr>
          <w:lang w:val="en-US"/>
        </w:rPr>
        <w:t>Quyết định của Thủ tướng Chính phủ ban hành Quy định về mã định danh cơ quan tổ chức</w:t>
      </w:r>
      <w:r>
        <w:t>.</w:t>
      </w:r>
    </w:p>
    <w:p w:rsidR="007726D9" w:rsidRPr="006A27FC" w:rsidRDefault="007726D9" w:rsidP="00C61238">
      <w:pPr>
        <w:widowControl w:val="0"/>
        <w:spacing w:before="120" w:after="120" w:line="340" w:lineRule="exact"/>
        <w:ind w:firstLine="567"/>
        <w:jc w:val="both"/>
        <w:rPr>
          <w:b/>
        </w:rPr>
      </w:pPr>
      <w:r w:rsidRPr="006A27FC">
        <w:rPr>
          <w:b/>
        </w:rPr>
        <w:t xml:space="preserve">2. </w:t>
      </w:r>
      <w:r>
        <w:rPr>
          <w:b/>
        </w:rPr>
        <w:t>Cơ quan giám sát đánh giá việc thực hiện chính sách</w:t>
      </w:r>
    </w:p>
    <w:p w:rsidR="007726D9" w:rsidRDefault="007726D9" w:rsidP="00C61238">
      <w:pPr>
        <w:widowControl w:val="0"/>
        <w:spacing w:before="120" w:after="240" w:line="340" w:lineRule="exact"/>
        <w:ind w:firstLine="567"/>
        <w:jc w:val="both"/>
      </w:pPr>
      <w:r>
        <w:t>Bộ Thông tin và Truyền thông là cơ quan</w:t>
      </w:r>
      <w:r w:rsidRPr="00917655">
        <w:t xml:space="preserve"> chịu trách nhiệm trước Chính phủ trong việc chủ trì, phối hợp với các bộ, ngành có liên quan thực hiện quản lý nhà nước về hoạt động giao dịch điện tử theo quy định của Luật Giao dịch điện tử</w:t>
      </w:r>
      <w:r>
        <w:t xml:space="preserve">; </w:t>
      </w:r>
      <w:r w:rsidRPr="002831B3">
        <w:t>chịu trách nhiệm trước Chính phủ trong việc chủ trì, phối hợp với bộ, cơ quan ngang bộ có liên quan thực hiện quản lý nhà nước về công nghệ thông tin theo quy định của Luật Công nghệ thông tin; chịu trách nhiệm trước Chính phủ thực hiện quản lý nhà nước về an toàn thông tin mạng theo quy định của Luật An toàn thông tin mạng</w:t>
      </w:r>
      <w:r>
        <w:t xml:space="preserve">. </w:t>
      </w:r>
    </w:p>
    <w:p w:rsidR="002A0CBA" w:rsidRPr="004E2656" w:rsidRDefault="007726D9" w:rsidP="00C61238">
      <w:pPr>
        <w:widowControl w:val="0"/>
        <w:tabs>
          <w:tab w:val="left" w:pos="-3420"/>
        </w:tabs>
        <w:spacing w:before="120" w:after="120" w:line="360" w:lineRule="auto"/>
        <w:jc w:val="right"/>
        <w:rPr>
          <w:b/>
          <w:lang w:val="en-US"/>
        </w:rPr>
      </w:pPr>
      <w:r w:rsidRPr="00F3727E">
        <w:rPr>
          <w:b/>
        </w:rPr>
        <w:t>BỘ THÔNG TIN VÀ TRUYỀN THÔNG</w:t>
      </w:r>
    </w:p>
    <w:sectPr w:rsidR="002A0CBA" w:rsidRPr="004E2656" w:rsidSect="00C61238">
      <w:footerReference w:type="default" r:id="rId8"/>
      <w:pgSz w:w="11906" w:h="16838" w:code="9"/>
      <w:pgMar w:top="1134" w:right="1134" w:bottom="1021"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8D4" w:rsidRDefault="00EA08D4" w:rsidP="00AD446E">
      <w:r>
        <w:separator/>
      </w:r>
    </w:p>
  </w:endnote>
  <w:endnote w:type="continuationSeparator" w:id="0">
    <w:p w:rsidR="00EA08D4" w:rsidRDefault="00EA08D4" w:rsidP="00AD4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619544"/>
      <w:docPartObj>
        <w:docPartGallery w:val="Page Numbers (Bottom of Page)"/>
        <w:docPartUnique/>
      </w:docPartObj>
    </w:sdtPr>
    <w:sdtEndPr>
      <w:rPr>
        <w:noProof/>
      </w:rPr>
    </w:sdtEndPr>
    <w:sdtContent>
      <w:p w:rsidR="00AD446E" w:rsidRDefault="00C81FD7">
        <w:pPr>
          <w:pStyle w:val="Footer"/>
          <w:jc w:val="right"/>
        </w:pPr>
        <w:r>
          <w:fldChar w:fldCharType="begin"/>
        </w:r>
        <w:r w:rsidR="00AD446E">
          <w:instrText xml:space="preserve"> PAGE   \* MERGEFORMAT </w:instrText>
        </w:r>
        <w:r>
          <w:fldChar w:fldCharType="separate"/>
        </w:r>
        <w:r w:rsidR="00C51ECB">
          <w:rPr>
            <w:noProof/>
          </w:rPr>
          <w:t>2</w:t>
        </w:r>
        <w:r>
          <w:rPr>
            <w:noProof/>
          </w:rPr>
          <w:fldChar w:fldCharType="end"/>
        </w:r>
      </w:p>
    </w:sdtContent>
  </w:sdt>
  <w:p w:rsidR="00AD446E" w:rsidRDefault="00AD4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8D4" w:rsidRDefault="00EA08D4" w:rsidP="00AD446E">
      <w:r>
        <w:separator/>
      </w:r>
    </w:p>
  </w:footnote>
  <w:footnote w:type="continuationSeparator" w:id="0">
    <w:p w:rsidR="00EA08D4" w:rsidRDefault="00EA08D4" w:rsidP="00AD44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0CE"/>
    <w:multiLevelType w:val="hybridMultilevel"/>
    <w:tmpl w:val="8572E236"/>
    <w:lvl w:ilvl="0" w:tplc="DE7E3D0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E0711B6"/>
    <w:multiLevelType w:val="hybridMultilevel"/>
    <w:tmpl w:val="6BDEA41A"/>
    <w:lvl w:ilvl="0" w:tplc="99A61E88">
      <w:numFmt w:val="bullet"/>
      <w:lvlText w:val="-"/>
      <w:lvlJc w:val="left"/>
      <w:pPr>
        <w:ind w:left="1353"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83FF9"/>
    <w:rsid w:val="0002414B"/>
    <w:rsid w:val="0003220B"/>
    <w:rsid w:val="000366FF"/>
    <w:rsid w:val="00037FBD"/>
    <w:rsid w:val="00045051"/>
    <w:rsid w:val="00045AF0"/>
    <w:rsid w:val="00051580"/>
    <w:rsid w:val="00061FAC"/>
    <w:rsid w:val="00076C34"/>
    <w:rsid w:val="000838B9"/>
    <w:rsid w:val="00085B1D"/>
    <w:rsid w:val="00094C2D"/>
    <w:rsid w:val="000A3B65"/>
    <w:rsid w:val="000D4D4D"/>
    <w:rsid w:val="000F1735"/>
    <w:rsid w:val="0010138D"/>
    <w:rsid w:val="0010704F"/>
    <w:rsid w:val="0012584E"/>
    <w:rsid w:val="001346AB"/>
    <w:rsid w:val="00175615"/>
    <w:rsid w:val="001B36AA"/>
    <w:rsid w:val="001D37AB"/>
    <w:rsid w:val="001E603F"/>
    <w:rsid w:val="001E7AEA"/>
    <w:rsid w:val="0021495C"/>
    <w:rsid w:val="00237521"/>
    <w:rsid w:val="0024399F"/>
    <w:rsid w:val="002630C4"/>
    <w:rsid w:val="002825D7"/>
    <w:rsid w:val="00283A7F"/>
    <w:rsid w:val="002A0CBA"/>
    <w:rsid w:val="002A4767"/>
    <w:rsid w:val="002C25FA"/>
    <w:rsid w:val="00332AC5"/>
    <w:rsid w:val="00357FCD"/>
    <w:rsid w:val="003722DB"/>
    <w:rsid w:val="00382FA3"/>
    <w:rsid w:val="003B2D21"/>
    <w:rsid w:val="003B5B8B"/>
    <w:rsid w:val="003C72EA"/>
    <w:rsid w:val="003D0A65"/>
    <w:rsid w:val="003D33BD"/>
    <w:rsid w:val="003D7154"/>
    <w:rsid w:val="00432BC5"/>
    <w:rsid w:val="00442DD5"/>
    <w:rsid w:val="00455A26"/>
    <w:rsid w:val="00456585"/>
    <w:rsid w:val="00467B83"/>
    <w:rsid w:val="00474CAC"/>
    <w:rsid w:val="004868B6"/>
    <w:rsid w:val="004A35FD"/>
    <w:rsid w:val="004A5BA8"/>
    <w:rsid w:val="004C2432"/>
    <w:rsid w:val="00511223"/>
    <w:rsid w:val="00550BF4"/>
    <w:rsid w:val="005611CC"/>
    <w:rsid w:val="005634F5"/>
    <w:rsid w:val="00564BB3"/>
    <w:rsid w:val="00565214"/>
    <w:rsid w:val="005768F5"/>
    <w:rsid w:val="005821C7"/>
    <w:rsid w:val="00583DB2"/>
    <w:rsid w:val="005862A0"/>
    <w:rsid w:val="005A2070"/>
    <w:rsid w:val="005B22D7"/>
    <w:rsid w:val="005D0121"/>
    <w:rsid w:val="005D0279"/>
    <w:rsid w:val="005E36E6"/>
    <w:rsid w:val="00626441"/>
    <w:rsid w:val="00632446"/>
    <w:rsid w:val="00657453"/>
    <w:rsid w:val="006609EC"/>
    <w:rsid w:val="0067782C"/>
    <w:rsid w:val="006815BD"/>
    <w:rsid w:val="00690EE8"/>
    <w:rsid w:val="006A2496"/>
    <w:rsid w:val="006B2314"/>
    <w:rsid w:val="006C0194"/>
    <w:rsid w:val="006D7117"/>
    <w:rsid w:val="006F3D97"/>
    <w:rsid w:val="00702738"/>
    <w:rsid w:val="0071392F"/>
    <w:rsid w:val="0071711D"/>
    <w:rsid w:val="0073269E"/>
    <w:rsid w:val="00760D66"/>
    <w:rsid w:val="0076306B"/>
    <w:rsid w:val="007726D9"/>
    <w:rsid w:val="00773A05"/>
    <w:rsid w:val="007915AC"/>
    <w:rsid w:val="007B2410"/>
    <w:rsid w:val="007B3B21"/>
    <w:rsid w:val="007D44A9"/>
    <w:rsid w:val="007D56DF"/>
    <w:rsid w:val="007E209B"/>
    <w:rsid w:val="0081648C"/>
    <w:rsid w:val="0085214B"/>
    <w:rsid w:val="008631D8"/>
    <w:rsid w:val="00867635"/>
    <w:rsid w:val="008B43DD"/>
    <w:rsid w:val="008F38C0"/>
    <w:rsid w:val="00910912"/>
    <w:rsid w:val="00910D78"/>
    <w:rsid w:val="00914AA7"/>
    <w:rsid w:val="0092040D"/>
    <w:rsid w:val="00931622"/>
    <w:rsid w:val="00935985"/>
    <w:rsid w:val="009625BF"/>
    <w:rsid w:val="00962FFD"/>
    <w:rsid w:val="00981368"/>
    <w:rsid w:val="00981FB2"/>
    <w:rsid w:val="00985673"/>
    <w:rsid w:val="0099441A"/>
    <w:rsid w:val="00996F3A"/>
    <w:rsid w:val="009C2459"/>
    <w:rsid w:val="009C75BA"/>
    <w:rsid w:val="009E0DAB"/>
    <w:rsid w:val="00A0475C"/>
    <w:rsid w:val="00A060A9"/>
    <w:rsid w:val="00A4176E"/>
    <w:rsid w:val="00A429DE"/>
    <w:rsid w:val="00A6212E"/>
    <w:rsid w:val="00A65791"/>
    <w:rsid w:val="00A707F5"/>
    <w:rsid w:val="00A95F4D"/>
    <w:rsid w:val="00AA451C"/>
    <w:rsid w:val="00AC0AF7"/>
    <w:rsid w:val="00AD446E"/>
    <w:rsid w:val="00AE1634"/>
    <w:rsid w:val="00AE4926"/>
    <w:rsid w:val="00B00869"/>
    <w:rsid w:val="00B51BC7"/>
    <w:rsid w:val="00B812EC"/>
    <w:rsid w:val="00BD068E"/>
    <w:rsid w:val="00BF60FB"/>
    <w:rsid w:val="00C0045C"/>
    <w:rsid w:val="00C20C24"/>
    <w:rsid w:val="00C3740C"/>
    <w:rsid w:val="00C51ECB"/>
    <w:rsid w:val="00C61238"/>
    <w:rsid w:val="00C735B8"/>
    <w:rsid w:val="00C749D9"/>
    <w:rsid w:val="00C81FD7"/>
    <w:rsid w:val="00C83FF9"/>
    <w:rsid w:val="00C97D92"/>
    <w:rsid w:val="00CA22C3"/>
    <w:rsid w:val="00CA66B7"/>
    <w:rsid w:val="00CC53AF"/>
    <w:rsid w:val="00CC5700"/>
    <w:rsid w:val="00CD2755"/>
    <w:rsid w:val="00CE2D17"/>
    <w:rsid w:val="00CE383D"/>
    <w:rsid w:val="00CF284A"/>
    <w:rsid w:val="00D001B3"/>
    <w:rsid w:val="00D10CE2"/>
    <w:rsid w:val="00D542A1"/>
    <w:rsid w:val="00DA4FF7"/>
    <w:rsid w:val="00DC5E5D"/>
    <w:rsid w:val="00DD36D1"/>
    <w:rsid w:val="00DD72FD"/>
    <w:rsid w:val="00DE68AE"/>
    <w:rsid w:val="00E34FC7"/>
    <w:rsid w:val="00E52FBC"/>
    <w:rsid w:val="00E61621"/>
    <w:rsid w:val="00E734D0"/>
    <w:rsid w:val="00E75339"/>
    <w:rsid w:val="00E840FC"/>
    <w:rsid w:val="00EA08D4"/>
    <w:rsid w:val="00EA11CF"/>
    <w:rsid w:val="00EB0637"/>
    <w:rsid w:val="00EB21FF"/>
    <w:rsid w:val="00EF1ECE"/>
    <w:rsid w:val="00F10B55"/>
    <w:rsid w:val="00F1286A"/>
    <w:rsid w:val="00F15B1A"/>
    <w:rsid w:val="00F31D52"/>
    <w:rsid w:val="00F374D0"/>
    <w:rsid w:val="00F507E4"/>
    <w:rsid w:val="00F555EC"/>
    <w:rsid w:val="00FA06E0"/>
    <w:rsid w:val="00FB53F4"/>
    <w:rsid w:val="00FE22BA"/>
    <w:rsid w:val="00FE2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F9"/>
    <w:pPr>
      <w:spacing w:after="0" w:line="240" w:lineRule="auto"/>
    </w:pPr>
    <w:rPr>
      <w:rFonts w:ascii="Times New Roman" w:eastAsia="Times New Roman" w:hAnsi="Times New Roman" w:cs="Times New Roman"/>
      <w:sz w:val="28"/>
      <w:szCs w:val="28"/>
      <w:lang w:val="vi-VN"/>
    </w:rPr>
  </w:style>
  <w:style w:type="paragraph" w:styleId="Heading2">
    <w:name w:val="heading 2"/>
    <w:aliases w:val="l2,H2,h21,Chapter Number/Appendix Letter,chn,h2,Level 2 Topic Heading,HD2,style2,2"/>
    <w:basedOn w:val="TOC1"/>
    <w:next w:val="Normal"/>
    <w:link w:val="Heading2Char"/>
    <w:qFormat/>
    <w:rsid w:val="007726D9"/>
    <w:pPr>
      <w:spacing w:after="0" w:line="360" w:lineRule="auto"/>
      <w:jc w:val="both"/>
      <w:outlineLvl w:val="1"/>
    </w:pPr>
    <w:rPr>
      <w:bCs/>
      <w:iCs/>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1D"/>
    <w:pPr>
      <w:ind w:left="720"/>
      <w:contextualSpacing/>
    </w:pPr>
  </w:style>
  <w:style w:type="paragraph" w:customStyle="1" w:styleId="Char">
    <w:name w:val="Char"/>
    <w:basedOn w:val="Normal"/>
    <w:rsid w:val="00D10CE2"/>
    <w:pPr>
      <w:spacing w:after="160" w:line="240" w:lineRule="exact"/>
    </w:pPr>
    <w:rPr>
      <w:rFonts w:ascii="Verdana" w:eastAsia="MS Mincho" w:hAnsi="Verdana"/>
      <w:sz w:val="20"/>
      <w:szCs w:val="20"/>
      <w:lang w:val="en-US"/>
    </w:rPr>
  </w:style>
  <w:style w:type="paragraph" w:styleId="BalloonText">
    <w:name w:val="Balloon Text"/>
    <w:basedOn w:val="Normal"/>
    <w:link w:val="BalloonTextChar"/>
    <w:uiPriority w:val="99"/>
    <w:semiHidden/>
    <w:unhideWhenUsed/>
    <w:rsid w:val="00657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453"/>
    <w:rPr>
      <w:rFonts w:ascii="Segoe UI" w:eastAsia="Times New Roman" w:hAnsi="Segoe UI" w:cs="Segoe UI"/>
      <w:sz w:val="18"/>
      <w:szCs w:val="18"/>
      <w:lang w:val="vi-VN"/>
    </w:rPr>
  </w:style>
  <w:style w:type="character" w:customStyle="1" w:styleId="Heading2Char">
    <w:name w:val="Heading 2 Char"/>
    <w:aliases w:val="l2 Char,H2 Char,h21 Char,Chapter Number/Appendix Letter Char,chn Char,h2 Char,Level 2 Topic Heading Char,HD2 Char,style2 Char,2 Char"/>
    <w:basedOn w:val="DefaultParagraphFont"/>
    <w:link w:val="Heading2"/>
    <w:rsid w:val="007726D9"/>
    <w:rPr>
      <w:rFonts w:ascii="Times New Roman" w:eastAsia="Times New Roman" w:hAnsi="Times New Roman" w:cs="Times New Roman"/>
      <w:bCs/>
      <w:iCs/>
      <w:sz w:val="28"/>
      <w:szCs w:val="30"/>
    </w:rPr>
  </w:style>
  <w:style w:type="paragraph" w:styleId="TOC1">
    <w:name w:val="toc 1"/>
    <w:basedOn w:val="Normal"/>
    <w:next w:val="Normal"/>
    <w:autoRedefine/>
    <w:uiPriority w:val="39"/>
    <w:semiHidden/>
    <w:unhideWhenUsed/>
    <w:rsid w:val="007726D9"/>
    <w:pPr>
      <w:spacing w:after="100"/>
    </w:pPr>
  </w:style>
  <w:style w:type="paragraph" w:styleId="Header">
    <w:name w:val="header"/>
    <w:basedOn w:val="Normal"/>
    <w:link w:val="HeaderChar"/>
    <w:uiPriority w:val="99"/>
    <w:unhideWhenUsed/>
    <w:rsid w:val="00AD446E"/>
    <w:pPr>
      <w:tabs>
        <w:tab w:val="center" w:pos="4513"/>
        <w:tab w:val="right" w:pos="9026"/>
      </w:tabs>
    </w:pPr>
  </w:style>
  <w:style w:type="character" w:customStyle="1" w:styleId="HeaderChar">
    <w:name w:val="Header Char"/>
    <w:basedOn w:val="DefaultParagraphFont"/>
    <w:link w:val="Header"/>
    <w:uiPriority w:val="99"/>
    <w:rsid w:val="00AD446E"/>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D446E"/>
    <w:pPr>
      <w:tabs>
        <w:tab w:val="center" w:pos="4513"/>
        <w:tab w:val="right" w:pos="9026"/>
      </w:tabs>
    </w:pPr>
  </w:style>
  <w:style w:type="character" w:customStyle="1" w:styleId="FooterChar">
    <w:name w:val="Footer Char"/>
    <w:basedOn w:val="DefaultParagraphFont"/>
    <w:link w:val="Footer"/>
    <w:uiPriority w:val="99"/>
    <w:rsid w:val="00AD446E"/>
    <w:rPr>
      <w:rFonts w:ascii="Times New Roman" w:eastAsia="Times New Roman" w:hAnsi="Times New Roman" w:cs="Times New Roman"/>
      <w:sz w:val="28"/>
      <w:szCs w:val="28"/>
      <w:lang w:val="vi-VN"/>
    </w:rPr>
  </w:style>
</w:styles>
</file>

<file path=word/webSettings.xml><?xml version="1.0" encoding="utf-8"?>
<w:webSettings xmlns:r="http://schemas.openxmlformats.org/officeDocument/2006/relationships" xmlns:w="http://schemas.openxmlformats.org/wordprocessingml/2006/main">
  <w:divs>
    <w:div w:id="15755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D1550-7FCA-427D-9C61-8FF90A350E95}"/>
</file>

<file path=customXml/itemProps2.xml><?xml version="1.0" encoding="utf-8"?>
<ds:datastoreItem xmlns:ds="http://schemas.openxmlformats.org/officeDocument/2006/customXml" ds:itemID="{2A001D7A-1A38-4001-9CCC-C9BC8EB08914}"/>
</file>

<file path=customXml/itemProps3.xml><?xml version="1.0" encoding="utf-8"?>
<ds:datastoreItem xmlns:ds="http://schemas.openxmlformats.org/officeDocument/2006/customXml" ds:itemID="{BA843551-CAE6-4394-A557-60AEC6F030A6}"/>
</file>

<file path=customXml/itemProps4.xml><?xml version="1.0" encoding="utf-8"?>
<ds:datastoreItem xmlns:ds="http://schemas.openxmlformats.org/officeDocument/2006/customXml" ds:itemID="{638425B7-7CDD-431B-9EF6-ADFADDAF8AFB}"/>
</file>

<file path=docProps/app.xml><?xml version="1.0" encoding="utf-8"?>
<Properties xmlns="http://schemas.openxmlformats.org/officeDocument/2006/extended-properties" xmlns:vt="http://schemas.openxmlformats.org/officeDocument/2006/docPropsVTypes">
  <Template>Normal.dotm</Template>
  <TotalTime>38</TotalTime>
  <Pages>7</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HVH</dc:creator>
  <cp:lastModifiedBy>DANC01</cp:lastModifiedBy>
  <cp:revision>19</cp:revision>
  <cp:lastPrinted>2019-09-06T09:09:00Z</cp:lastPrinted>
  <dcterms:created xsi:type="dcterms:W3CDTF">2019-09-05T09:30:00Z</dcterms:created>
  <dcterms:modified xsi:type="dcterms:W3CDTF">2019-12-25T08:04:00Z</dcterms:modified>
</cp:coreProperties>
</file>